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E9CD0" w14:textId="29ECC231" w:rsidR="00CD2B98" w:rsidRPr="00C604EE" w:rsidRDefault="00C604EE" w:rsidP="00C604EE">
      <w:pPr>
        <w:spacing w:before="120" w:after="120" w:line="360" w:lineRule="auto"/>
        <w:jc w:val="center"/>
        <w:rPr>
          <w:rFonts w:ascii="Times New Roman" w:eastAsia="Times New Roman" w:hAnsi="Times New Roman" w:cs="Times New Roman"/>
          <w:b/>
          <w:bCs/>
          <w:sz w:val="28"/>
          <w:szCs w:val="28"/>
          <w:lang w:val="vi-VN"/>
        </w:rPr>
      </w:pPr>
      <w:r w:rsidRPr="00C604EE">
        <w:rPr>
          <w:rFonts w:ascii="Times New Roman" w:eastAsia="Times New Roman" w:hAnsi="Times New Roman" w:cs="Times New Roman"/>
          <w:b/>
          <w:bCs/>
          <w:spacing w:val="1"/>
          <w:sz w:val="28"/>
          <w:szCs w:val="28"/>
        </w:rPr>
        <w:t>Đ</w:t>
      </w:r>
      <w:r w:rsidRPr="00C604EE">
        <w:rPr>
          <w:rFonts w:ascii="Times New Roman" w:eastAsia="Times New Roman" w:hAnsi="Times New Roman" w:cs="Times New Roman"/>
          <w:b/>
          <w:bCs/>
          <w:spacing w:val="4"/>
          <w:sz w:val="28"/>
          <w:szCs w:val="28"/>
        </w:rPr>
        <w:t>Ạ</w:t>
      </w:r>
      <w:r w:rsidRPr="00C604EE">
        <w:rPr>
          <w:rFonts w:ascii="Times New Roman" w:eastAsia="Times New Roman" w:hAnsi="Times New Roman" w:cs="Times New Roman"/>
          <w:b/>
          <w:bCs/>
          <w:sz w:val="28"/>
          <w:szCs w:val="28"/>
        </w:rPr>
        <w:t>I</w:t>
      </w:r>
      <w:r w:rsidRPr="00C604EE">
        <w:rPr>
          <w:rFonts w:ascii="Times New Roman" w:eastAsia="Times New Roman" w:hAnsi="Times New Roman" w:cs="Times New Roman"/>
          <w:b/>
          <w:bCs/>
          <w:spacing w:val="8"/>
          <w:sz w:val="28"/>
          <w:szCs w:val="28"/>
        </w:rPr>
        <w:t xml:space="preserve"> </w:t>
      </w:r>
      <w:r w:rsidRPr="00C604EE">
        <w:rPr>
          <w:rFonts w:ascii="Times New Roman" w:eastAsia="Times New Roman" w:hAnsi="Times New Roman" w:cs="Times New Roman"/>
          <w:b/>
          <w:bCs/>
          <w:spacing w:val="-1"/>
          <w:sz w:val="28"/>
          <w:szCs w:val="28"/>
        </w:rPr>
        <w:t>HỌ</w:t>
      </w:r>
      <w:r w:rsidRPr="00C604EE">
        <w:rPr>
          <w:rFonts w:ascii="Times New Roman" w:eastAsia="Times New Roman" w:hAnsi="Times New Roman" w:cs="Times New Roman"/>
          <w:b/>
          <w:bCs/>
          <w:sz w:val="28"/>
          <w:szCs w:val="28"/>
        </w:rPr>
        <w:t>C</w:t>
      </w:r>
      <w:r w:rsidRPr="00C604EE">
        <w:rPr>
          <w:rFonts w:ascii="Times New Roman" w:eastAsia="Times New Roman" w:hAnsi="Times New Roman" w:cs="Times New Roman"/>
          <w:b/>
          <w:bCs/>
          <w:spacing w:val="11"/>
          <w:sz w:val="28"/>
          <w:szCs w:val="28"/>
        </w:rPr>
        <w:t xml:space="preserve"> </w:t>
      </w:r>
      <w:r w:rsidRPr="00C604EE">
        <w:rPr>
          <w:rFonts w:ascii="Times New Roman" w:eastAsia="Times New Roman" w:hAnsi="Times New Roman" w:cs="Times New Roman"/>
          <w:b/>
          <w:bCs/>
          <w:spacing w:val="-1"/>
          <w:sz w:val="28"/>
          <w:szCs w:val="28"/>
        </w:rPr>
        <w:t>QUỐ</w:t>
      </w:r>
      <w:r w:rsidRPr="00C604EE">
        <w:rPr>
          <w:rFonts w:ascii="Times New Roman" w:eastAsia="Times New Roman" w:hAnsi="Times New Roman" w:cs="Times New Roman"/>
          <w:b/>
          <w:bCs/>
          <w:sz w:val="28"/>
          <w:szCs w:val="28"/>
        </w:rPr>
        <w:t>C</w:t>
      </w:r>
      <w:r w:rsidRPr="00C604EE">
        <w:rPr>
          <w:rFonts w:ascii="Times New Roman" w:eastAsia="Times New Roman" w:hAnsi="Times New Roman" w:cs="Times New Roman"/>
          <w:b/>
          <w:bCs/>
          <w:spacing w:val="-1"/>
          <w:sz w:val="28"/>
          <w:szCs w:val="28"/>
        </w:rPr>
        <w:t xml:space="preserve"> </w:t>
      </w:r>
      <w:r w:rsidRPr="00C604EE">
        <w:rPr>
          <w:rFonts w:ascii="Times New Roman" w:eastAsia="Times New Roman" w:hAnsi="Times New Roman" w:cs="Times New Roman"/>
          <w:b/>
          <w:bCs/>
          <w:spacing w:val="1"/>
          <w:sz w:val="28"/>
          <w:szCs w:val="28"/>
        </w:rPr>
        <w:t>G</w:t>
      </w:r>
      <w:r w:rsidRPr="00C604EE">
        <w:rPr>
          <w:rFonts w:ascii="Times New Roman" w:eastAsia="Times New Roman" w:hAnsi="Times New Roman" w:cs="Times New Roman"/>
          <w:b/>
          <w:bCs/>
          <w:spacing w:val="-2"/>
          <w:sz w:val="28"/>
          <w:szCs w:val="28"/>
        </w:rPr>
        <w:t>I</w:t>
      </w:r>
      <w:r w:rsidRPr="00C604EE">
        <w:rPr>
          <w:rFonts w:ascii="Times New Roman" w:eastAsia="Times New Roman" w:hAnsi="Times New Roman" w:cs="Times New Roman"/>
          <w:b/>
          <w:bCs/>
          <w:sz w:val="28"/>
          <w:szCs w:val="28"/>
        </w:rPr>
        <w:t>A</w:t>
      </w:r>
      <w:r w:rsidRPr="00C604EE">
        <w:rPr>
          <w:rFonts w:ascii="Times New Roman" w:eastAsia="Times New Roman" w:hAnsi="Times New Roman" w:cs="Times New Roman"/>
          <w:b/>
          <w:bCs/>
          <w:spacing w:val="-1"/>
          <w:sz w:val="28"/>
          <w:szCs w:val="28"/>
        </w:rPr>
        <w:t xml:space="preserve"> </w:t>
      </w:r>
      <w:r>
        <w:rPr>
          <w:rFonts w:ascii="Times New Roman" w:eastAsia="Times New Roman" w:hAnsi="Times New Roman" w:cs="Times New Roman"/>
          <w:b/>
          <w:bCs/>
          <w:spacing w:val="2"/>
          <w:sz w:val="28"/>
          <w:szCs w:val="28"/>
        </w:rPr>
        <w:t>THÀNH</w:t>
      </w:r>
      <w:r>
        <w:rPr>
          <w:rFonts w:ascii="Times New Roman" w:eastAsia="Times New Roman" w:hAnsi="Times New Roman" w:cs="Times New Roman"/>
          <w:b/>
          <w:bCs/>
          <w:spacing w:val="2"/>
          <w:sz w:val="28"/>
          <w:szCs w:val="28"/>
          <w:lang w:val="vi-VN"/>
        </w:rPr>
        <w:t xml:space="preserve"> PHỐ</w:t>
      </w:r>
      <w:r w:rsidRPr="00C604EE">
        <w:rPr>
          <w:rFonts w:ascii="Times New Roman" w:eastAsia="Times New Roman" w:hAnsi="Times New Roman" w:cs="Times New Roman"/>
          <w:b/>
          <w:bCs/>
          <w:sz w:val="28"/>
          <w:szCs w:val="28"/>
        </w:rPr>
        <w:t xml:space="preserve"> </w:t>
      </w:r>
      <w:r>
        <w:rPr>
          <w:rFonts w:ascii="Times New Roman" w:eastAsia="Times New Roman" w:hAnsi="Times New Roman" w:cs="Times New Roman"/>
          <w:b/>
          <w:bCs/>
          <w:spacing w:val="-1"/>
          <w:sz w:val="28"/>
          <w:szCs w:val="28"/>
        </w:rPr>
        <w:t>HỒ</w:t>
      </w:r>
      <w:r>
        <w:rPr>
          <w:rFonts w:ascii="Times New Roman" w:eastAsia="Times New Roman" w:hAnsi="Times New Roman" w:cs="Times New Roman"/>
          <w:b/>
          <w:bCs/>
          <w:spacing w:val="-1"/>
          <w:sz w:val="28"/>
          <w:szCs w:val="28"/>
          <w:lang w:val="vi-VN"/>
        </w:rPr>
        <w:t xml:space="preserve"> CHÍ MINH</w:t>
      </w:r>
    </w:p>
    <w:p w14:paraId="23DEBBAC" w14:textId="0F656FA9" w:rsidR="00CD2B98" w:rsidRPr="00C604EE" w:rsidRDefault="00C604EE" w:rsidP="00C604EE">
      <w:pPr>
        <w:spacing w:before="120" w:after="120" w:line="360" w:lineRule="auto"/>
        <w:jc w:val="center"/>
        <w:rPr>
          <w:rFonts w:ascii="Times New Roman" w:eastAsia="Times New Roman" w:hAnsi="Times New Roman" w:cs="Times New Roman"/>
          <w:b/>
          <w:bCs/>
          <w:sz w:val="28"/>
          <w:szCs w:val="28"/>
        </w:rPr>
      </w:pPr>
      <w:r w:rsidRPr="00C604EE">
        <w:rPr>
          <w:rFonts w:ascii="Times New Roman" w:eastAsia="Times New Roman" w:hAnsi="Times New Roman" w:cs="Times New Roman"/>
          <w:b/>
          <w:bCs/>
          <w:spacing w:val="4"/>
          <w:w w:val="94"/>
          <w:sz w:val="28"/>
          <w:szCs w:val="28"/>
        </w:rPr>
        <w:t>TRƯỜN</w:t>
      </w:r>
      <w:r w:rsidRPr="00C604EE">
        <w:rPr>
          <w:rFonts w:ascii="Times New Roman" w:eastAsia="Times New Roman" w:hAnsi="Times New Roman" w:cs="Times New Roman"/>
          <w:b/>
          <w:bCs/>
          <w:w w:val="94"/>
          <w:sz w:val="28"/>
          <w:szCs w:val="28"/>
        </w:rPr>
        <w:t>G</w:t>
      </w:r>
      <w:r w:rsidRPr="00C604EE">
        <w:rPr>
          <w:rFonts w:ascii="Times New Roman" w:eastAsia="Times New Roman" w:hAnsi="Times New Roman" w:cs="Times New Roman"/>
          <w:b/>
          <w:bCs/>
          <w:spacing w:val="16"/>
          <w:w w:val="94"/>
          <w:sz w:val="28"/>
          <w:szCs w:val="28"/>
        </w:rPr>
        <w:t xml:space="preserve"> </w:t>
      </w:r>
      <w:r w:rsidRPr="00C604EE">
        <w:rPr>
          <w:rFonts w:ascii="Times New Roman" w:eastAsia="Times New Roman" w:hAnsi="Times New Roman" w:cs="Times New Roman"/>
          <w:b/>
          <w:bCs/>
          <w:spacing w:val="5"/>
          <w:sz w:val="28"/>
          <w:szCs w:val="28"/>
        </w:rPr>
        <w:t>Đ</w:t>
      </w:r>
      <w:r w:rsidRPr="00C604EE">
        <w:rPr>
          <w:rFonts w:ascii="Times New Roman" w:eastAsia="Times New Roman" w:hAnsi="Times New Roman" w:cs="Times New Roman"/>
          <w:b/>
          <w:bCs/>
          <w:spacing w:val="4"/>
          <w:sz w:val="28"/>
          <w:szCs w:val="28"/>
        </w:rPr>
        <w:t>Ạ</w:t>
      </w:r>
      <w:r w:rsidRPr="00C604EE">
        <w:rPr>
          <w:rFonts w:ascii="Times New Roman" w:eastAsia="Times New Roman" w:hAnsi="Times New Roman" w:cs="Times New Roman"/>
          <w:b/>
          <w:bCs/>
          <w:sz w:val="28"/>
          <w:szCs w:val="28"/>
        </w:rPr>
        <w:t>I</w:t>
      </w:r>
      <w:r w:rsidRPr="00C604EE">
        <w:rPr>
          <w:rFonts w:ascii="Times New Roman" w:eastAsia="Times New Roman" w:hAnsi="Times New Roman" w:cs="Times New Roman"/>
          <w:b/>
          <w:bCs/>
          <w:spacing w:val="10"/>
          <w:sz w:val="28"/>
          <w:szCs w:val="28"/>
        </w:rPr>
        <w:t xml:space="preserve"> </w:t>
      </w:r>
      <w:r w:rsidRPr="00C604EE">
        <w:rPr>
          <w:rFonts w:ascii="Times New Roman" w:eastAsia="Times New Roman" w:hAnsi="Times New Roman" w:cs="Times New Roman"/>
          <w:b/>
          <w:bCs/>
          <w:spacing w:val="6"/>
          <w:sz w:val="28"/>
          <w:szCs w:val="28"/>
        </w:rPr>
        <w:t>HỌ</w:t>
      </w:r>
      <w:r w:rsidRPr="00C604EE">
        <w:rPr>
          <w:rFonts w:ascii="Times New Roman" w:eastAsia="Times New Roman" w:hAnsi="Times New Roman" w:cs="Times New Roman"/>
          <w:b/>
          <w:bCs/>
          <w:sz w:val="28"/>
          <w:szCs w:val="28"/>
        </w:rPr>
        <w:t>C</w:t>
      </w:r>
      <w:r w:rsidRPr="00C604EE">
        <w:rPr>
          <w:rFonts w:ascii="Times New Roman" w:eastAsia="Times New Roman" w:hAnsi="Times New Roman" w:cs="Times New Roman"/>
          <w:b/>
          <w:bCs/>
          <w:spacing w:val="8"/>
          <w:sz w:val="28"/>
          <w:szCs w:val="28"/>
        </w:rPr>
        <w:t xml:space="preserve"> </w:t>
      </w:r>
      <w:r w:rsidRPr="00C604EE">
        <w:rPr>
          <w:rFonts w:ascii="Times New Roman" w:eastAsia="Times New Roman" w:hAnsi="Times New Roman" w:cs="Times New Roman"/>
          <w:b/>
          <w:bCs/>
          <w:spacing w:val="6"/>
          <w:sz w:val="28"/>
          <w:szCs w:val="28"/>
        </w:rPr>
        <w:t>K</w:t>
      </w:r>
      <w:r w:rsidRPr="00C604EE">
        <w:rPr>
          <w:rFonts w:ascii="Times New Roman" w:eastAsia="Times New Roman" w:hAnsi="Times New Roman" w:cs="Times New Roman"/>
          <w:b/>
          <w:bCs/>
          <w:spacing w:val="3"/>
          <w:sz w:val="28"/>
          <w:szCs w:val="28"/>
        </w:rPr>
        <w:t>I</w:t>
      </w:r>
      <w:r w:rsidRPr="00C604EE">
        <w:rPr>
          <w:rFonts w:ascii="Times New Roman" w:eastAsia="Times New Roman" w:hAnsi="Times New Roman" w:cs="Times New Roman"/>
          <w:b/>
          <w:bCs/>
          <w:spacing w:val="4"/>
          <w:sz w:val="28"/>
          <w:szCs w:val="28"/>
        </w:rPr>
        <w:t>N</w:t>
      </w:r>
      <w:r w:rsidRPr="00C604EE">
        <w:rPr>
          <w:rFonts w:ascii="Times New Roman" w:eastAsia="Times New Roman" w:hAnsi="Times New Roman" w:cs="Times New Roman"/>
          <w:b/>
          <w:bCs/>
          <w:sz w:val="28"/>
          <w:szCs w:val="28"/>
        </w:rPr>
        <w:t>H</w:t>
      </w:r>
      <w:r w:rsidRPr="00C604EE">
        <w:rPr>
          <w:rFonts w:ascii="Times New Roman" w:eastAsia="Times New Roman" w:hAnsi="Times New Roman" w:cs="Times New Roman"/>
          <w:b/>
          <w:bCs/>
          <w:spacing w:val="10"/>
          <w:sz w:val="28"/>
          <w:szCs w:val="28"/>
        </w:rPr>
        <w:t xml:space="preserve"> </w:t>
      </w:r>
      <w:r w:rsidRPr="00C604EE">
        <w:rPr>
          <w:rFonts w:ascii="Times New Roman" w:eastAsia="Times New Roman" w:hAnsi="Times New Roman" w:cs="Times New Roman"/>
          <w:b/>
          <w:bCs/>
          <w:spacing w:val="6"/>
          <w:sz w:val="28"/>
          <w:szCs w:val="28"/>
        </w:rPr>
        <w:t>T</w:t>
      </w:r>
      <w:r w:rsidRPr="00C604EE">
        <w:rPr>
          <w:rFonts w:ascii="Times New Roman" w:eastAsia="Times New Roman" w:hAnsi="Times New Roman" w:cs="Times New Roman"/>
          <w:b/>
          <w:bCs/>
          <w:sz w:val="28"/>
          <w:szCs w:val="28"/>
        </w:rPr>
        <w:t>Ế</w:t>
      </w:r>
      <w:r w:rsidRPr="00C604EE">
        <w:rPr>
          <w:rFonts w:ascii="Times New Roman" w:eastAsia="Times New Roman" w:hAnsi="Times New Roman" w:cs="Times New Roman"/>
          <w:b/>
          <w:bCs/>
          <w:spacing w:val="9"/>
          <w:sz w:val="28"/>
          <w:szCs w:val="28"/>
        </w:rPr>
        <w:t xml:space="preserve"> </w:t>
      </w:r>
      <w:r w:rsidRPr="00C604EE">
        <w:rPr>
          <w:rFonts w:ascii="Times New Roman" w:eastAsia="Times New Roman" w:hAnsi="Times New Roman" w:cs="Times New Roman"/>
          <w:b/>
          <w:bCs/>
          <w:sz w:val="28"/>
          <w:szCs w:val="28"/>
        </w:rPr>
        <w:t>-</w:t>
      </w:r>
      <w:r w:rsidRPr="00C604EE">
        <w:rPr>
          <w:rFonts w:ascii="Times New Roman" w:eastAsia="Times New Roman" w:hAnsi="Times New Roman" w:cs="Times New Roman"/>
          <w:b/>
          <w:bCs/>
          <w:spacing w:val="11"/>
          <w:sz w:val="28"/>
          <w:szCs w:val="28"/>
        </w:rPr>
        <w:t xml:space="preserve"> </w:t>
      </w:r>
      <w:r w:rsidRPr="00C604EE">
        <w:rPr>
          <w:rFonts w:ascii="Times New Roman" w:eastAsia="Times New Roman" w:hAnsi="Times New Roman" w:cs="Times New Roman"/>
          <w:b/>
          <w:bCs/>
          <w:spacing w:val="4"/>
          <w:sz w:val="28"/>
          <w:szCs w:val="28"/>
        </w:rPr>
        <w:t>LUẬ</w:t>
      </w:r>
      <w:r w:rsidRPr="00C604EE">
        <w:rPr>
          <w:rFonts w:ascii="Times New Roman" w:eastAsia="Times New Roman" w:hAnsi="Times New Roman" w:cs="Times New Roman"/>
          <w:b/>
          <w:bCs/>
          <w:sz w:val="28"/>
          <w:szCs w:val="28"/>
        </w:rPr>
        <w:t>T</w:t>
      </w:r>
    </w:p>
    <w:p w14:paraId="2CC5F917"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p>
    <w:p w14:paraId="41F1B3B5" w14:textId="6F5A617B" w:rsidR="00CD2B98" w:rsidRDefault="00CD2B98" w:rsidP="00C604EE">
      <w:pPr>
        <w:spacing w:before="120" w:after="120" w:line="360" w:lineRule="auto"/>
        <w:jc w:val="center"/>
        <w:rPr>
          <w:rFonts w:ascii="Times New Roman" w:hAnsi="Times New Roman" w:cs="Times New Roman"/>
          <w:b/>
          <w:bCs/>
          <w:sz w:val="28"/>
          <w:szCs w:val="28"/>
        </w:rPr>
      </w:pPr>
    </w:p>
    <w:p w14:paraId="795AAFC7" w14:textId="77777777" w:rsidR="00AF1E72" w:rsidRPr="00C604EE" w:rsidRDefault="00AF1E72" w:rsidP="00C604EE">
      <w:pPr>
        <w:spacing w:before="120" w:after="120" w:line="360" w:lineRule="auto"/>
        <w:jc w:val="center"/>
        <w:rPr>
          <w:rFonts w:ascii="Times New Roman" w:hAnsi="Times New Roman" w:cs="Times New Roman"/>
          <w:b/>
          <w:bCs/>
          <w:sz w:val="28"/>
          <w:szCs w:val="28"/>
        </w:rPr>
      </w:pPr>
    </w:p>
    <w:p w14:paraId="4581ED82" w14:textId="77777777" w:rsidR="00AF1E72" w:rsidRPr="00AF1E72" w:rsidRDefault="00AF1E72" w:rsidP="00AF1E72">
      <w:pPr>
        <w:spacing w:after="0" w:line="240" w:lineRule="auto"/>
        <w:jc w:val="center"/>
        <w:rPr>
          <w:rFonts w:ascii="Times New Roman" w:hAnsi="Times New Roman" w:cs="Times New Roman"/>
          <w:b/>
          <w:sz w:val="30"/>
          <w:szCs w:val="28"/>
        </w:rPr>
      </w:pPr>
      <w:r w:rsidRPr="00AF1E72">
        <w:rPr>
          <w:rFonts w:ascii="Times New Roman" w:hAnsi="Times New Roman" w:cs="Times New Roman"/>
          <w:b/>
          <w:sz w:val="30"/>
          <w:szCs w:val="28"/>
        </w:rPr>
        <w:t>TRẦN THỊ THU NGÂN</w:t>
      </w:r>
    </w:p>
    <w:p w14:paraId="7088041D"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p>
    <w:p w14:paraId="2D12B2D0" w14:textId="77777777" w:rsidR="00CD2B98" w:rsidRDefault="00CD2B98" w:rsidP="00C604EE">
      <w:pPr>
        <w:spacing w:before="120" w:after="120" w:line="360" w:lineRule="auto"/>
        <w:jc w:val="center"/>
        <w:rPr>
          <w:rFonts w:ascii="Times New Roman" w:hAnsi="Times New Roman" w:cs="Times New Roman"/>
          <w:b/>
          <w:bCs/>
          <w:sz w:val="28"/>
          <w:szCs w:val="28"/>
          <w:lang w:val="vi-VN"/>
        </w:rPr>
      </w:pPr>
    </w:p>
    <w:p w14:paraId="174B3B4A" w14:textId="77777777" w:rsidR="00C604EE" w:rsidRDefault="00C604EE" w:rsidP="00C604EE">
      <w:pPr>
        <w:spacing w:before="120" w:after="120" w:line="360" w:lineRule="auto"/>
        <w:jc w:val="center"/>
        <w:rPr>
          <w:rFonts w:ascii="Times New Roman" w:hAnsi="Times New Roman" w:cs="Times New Roman"/>
          <w:b/>
          <w:bCs/>
          <w:sz w:val="28"/>
          <w:szCs w:val="28"/>
          <w:lang w:val="vi-VN"/>
        </w:rPr>
      </w:pPr>
    </w:p>
    <w:p w14:paraId="548C2DE5" w14:textId="77777777" w:rsidR="00C604EE" w:rsidRPr="00C604EE" w:rsidRDefault="00C604EE" w:rsidP="00C604EE">
      <w:pPr>
        <w:spacing w:before="120" w:after="120" w:line="360" w:lineRule="auto"/>
        <w:jc w:val="center"/>
        <w:rPr>
          <w:rFonts w:ascii="Times New Roman" w:hAnsi="Times New Roman" w:cs="Times New Roman"/>
          <w:b/>
          <w:bCs/>
          <w:sz w:val="28"/>
          <w:szCs w:val="28"/>
          <w:lang w:val="vi-VN"/>
        </w:rPr>
      </w:pPr>
    </w:p>
    <w:p w14:paraId="4162AD27" w14:textId="1E847EBF" w:rsidR="00CD2B98" w:rsidRPr="00C604EE" w:rsidRDefault="00C604EE" w:rsidP="00C604EE">
      <w:pPr>
        <w:spacing w:before="120" w:after="120" w:line="360" w:lineRule="auto"/>
        <w:jc w:val="center"/>
        <w:rPr>
          <w:rFonts w:ascii="Times New Roman" w:eastAsia="Times New Roman" w:hAnsi="Times New Roman" w:cs="Times New Roman"/>
          <w:b/>
          <w:bCs/>
          <w:sz w:val="36"/>
          <w:szCs w:val="36"/>
        </w:rPr>
      </w:pPr>
      <w:r w:rsidRPr="00C604EE">
        <w:rPr>
          <w:rFonts w:ascii="Times New Roman" w:eastAsia="Times New Roman" w:hAnsi="Times New Roman" w:cs="Times New Roman"/>
          <w:b/>
          <w:bCs/>
          <w:sz w:val="36"/>
          <w:szCs w:val="36"/>
        </w:rPr>
        <w:t>PHÁP LUẬT VIỆT NAM VỀ THẺ THANH TOÁN</w:t>
      </w:r>
    </w:p>
    <w:p w14:paraId="019997F9"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p>
    <w:p w14:paraId="644E6164" w14:textId="77777777" w:rsidR="00CD2B98" w:rsidRDefault="00CD2B98" w:rsidP="00C604EE">
      <w:pPr>
        <w:spacing w:before="120" w:after="120" w:line="360" w:lineRule="auto"/>
        <w:jc w:val="center"/>
        <w:rPr>
          <w:rFonts w:ascii="Times New Roman" w:hAnsi="Times New Roman" w:cs="Times New Roman"/>
          <w:b/>
          <w:bCs/>
          <w:sz w:val="28"/>
          <w:szCs w:val="28"/>
          <w:lang w:val="vi-VN"/>
        </w:rPr>
      </w:pPr>
    </w:p>
    <w:p w14:paraId="6158ECDB" w14:textId="77777777" w:rsidR="00C604EE" w:rsidRDefault="00C604EE" w:rsidP="00C604EE">
      <w:pPr>
        <w:spacing w:before="120" w:after="120" w:line="360" w:lineRule="auto"/>
        <w:jc w:val="center"/>
        <w:rPr>
          <w:rFonts w:ascii="Times New Roman" w:hAnsi="Times New Roman" w:cs="Times New Roman"/>
          <w:b/>
          <w:bCs/>
          <w:sz w:val="28"/>
          <w:szCs w:val="28"/>
          <w:lang w:val="vi-VN"/>
        </w:rPr>
      </w:pPr>
    </w:p>
    <w:p w14:paraId="6F445622" w14:textId="77777777" w:rsidR="00C604EE" w:rsidRPr="00C604EE" w:rsidRDefault="00C604EE" w:rsidP="00C604EE">
      <w:pPr>
        <w:spacing w:before="120" w:after="120" w:line="360" w:lineRule="auto"/>
        <w:jc w:val="center"/>
        <w:rPr>
          <w:rFonts w:ascii="Times New Roman" w:hAnsi="Times New Roman" w:cs="Times New Roman"/>
          <w:b/>
          <w:bCs/>
          <w:sz w:val="28"/>
          <w:szCs w:val="28"/>
          <w:lang w:val="vi-VN"/>
        </w:rPr>
      </w:pPr>
    </w:p>
    <w:p w14:paraId="2DFB2860" w14:textId="1C40304A" w:rsidR="00CD2B98" w:rsidRPr="00C604EE" w:rsidRDefault="00C604EE" w:rsidP="00C604EE">
      <w:pPr>
        <w:spacing w:before="120" w:after="120" w:line="360" w:lineRule="auto"/>
        <w:jc w:val="center"/>
        <w:rPr>
          <w:rFonts w:ascii="Times New Roman" w:eastAsia="Times New Roman" w:hAnsi="Times New Roman" w:cs="Times New Roman"/>
          <w:b/>
          <w:bCs/>
          <w:sz w:val="28"/>
          <w:szCs w:val="28"/>
        </w:rPr>
      </w:pPr>
      <w:r w:rsidRPr="00C604EE">
        <w:rPr>
          <w:rFonts w:ascii="Times New Roman" w:eastAsia="Times New Roman" w:hAnsi="Times New Roman" w:cs="Times New Roman"/>
          <w:b/>
          <w:bCs/>
          <w:sz w:val="28"/>
          <w:szCs w:val="28"/>
        </w:rPr>
        <w:t xml:space="preserve">TÓM </w:t>
      </w:r>
      <w:r w:rsidRPr="00C604EE">
        <w:rPr>
          <w:rFonts w:ascii="Times New Roman" w:eastAsia="Times New Roman" w:hAnsi="Times New Roman" w:cs="Times New Roman"/>
          <w:b/>
          <w:bCs/>
          <w:spacing w:val="-1"/>
          <w:sz w:val="28"/>
          <w:szCs w:val="28"/>
        </w:rPr>
        <w:t>T</w:t>
      </w:r>
      <w:r w:rsidRPr="00C604EE">
        <w:rPr>
          <w:rFonts w:ascii="Times New Roman" w:eastAsia="Times New Roman" w:hAnsi="Times New Roman" w:cs="Times New Roman"/>
          <w:b/>
          <w:bCs/>
          <w:sz w:val="28"/>
          <w:szCs w:val="28"/>
        </w:rPr>
        <w:t>ẮT</w:t>
      </w:r>
      <w:r w:rsidRPr="00C604EE">
        <w:rPr>
          <w:rFonts w:ascii="Times New Roman" w:eastAsia="Times New Roman" w:hAnsi="Times New Roman" w:cs="Times New Roman"/>
          <w:b/>
          <w:bCs/>
          <w:spacing w:val="2"/>
          <w:sz w:val="28"/>
          <w:szCs w:val="28"/>
        </w:rPr>
        <w:t xml:space="preserve"> </w:t>
      </w:r>
      <w:r w:rsidRPr="00C604EE">
        <w:rPr>
          <w:rFonts w:ascii="Times New Roman" w:eastAsia="Times New Roman" w:hAnsi="Times New Roman" w:cs="Times New Roman"/>
          <w:b/>
          <w:bCs/>
          <w:spacing w:val="-3"/>
          <w:sz w:val="28"/>
          <w:szCs w:val="28"/>
        </w:rPr>
        <w:t>L</w:t>
      </w:r>
      <w:r w:rsidRPr="00C604EE">
        <w:rPr>
          <w:rFonts w:ascii="Times New Roman" w:eastAsia="Times New Roman" w:hAnsi="Times New Roman" w:cs="Times New Roman"/>
          <w:b/>
          <w:bCs/>
          <w:sz w:val="28"/>
          <w:szCs w:val="28"/>
        </w:rPr>
        <w:t>UẬN</w:t>
      </w:r>
      <w:r w:rsidRPr="00C604EE">
        <w:rPr>
          <w:rFonts w:ascii="Times New Roman" w:eastAsia="Times New Roman" w:hAnsi="Times New Roman" w:cs="Times New Roman"/>
          <w:b/>
          <w:bCs/>
          <w:spacing w:val="2"/>
          <w:sz w:val="28"/>
          <w:szCs w:val="28"/>
        </w:rPr>
        <w:t xml:space="preserve"> </w:t>
      </w:r>
      <w:r w:rsidRPr="00C604EE">
        <w:rPr>
          <w:rFonts w:ascii="Times New Roman" w:eastAsia="Times New Roman" w:hAnsi="Times New Roman" w:cs="Times New Roman"/>
          <w:b/>
          <w:bCs/>
          <w:sz w:val="28"/>
          <w:szCs w:val="28"/>
        </w:rPr>
        <w:t>ÁN</w:t>
      </w:r>
      <w:r w:rsidRPr="00C604EE">
        <w:rPr>
          <w:rFonts w:ascii="Times New Roman" w:eastAsia="Times New Roman" w:hAnsi="Times New Roman" w:cs="Times New Roman"/>
          <w:b/>
          <w:bCs/>
          <w:spacing w:val="-1"/>
          <w:sz w:val="28"/>
          <w:szCs w:val="28"/>
        </w:rPr>
        <w:t xml:space="preserve"> </w:t>
      </w:r>
      <w:r w:rsidRPr="00C604EE">
        <w:rPr>
          <w:rFonts w:ascii="Times New Roman" w:eastAsia="Times New Roman" w:hAnsi="Times New Roman" w:cs="Times New Roman"/>
          <w:b/>
          <w:bCs/>
          <w:spacing w:val="2"/>
          <w:sz w:val="28"/>
          <w:szCs w:val="28"/>
        </w:rPr>
        <w:t>T</w:t>
      </w:r>
      <w:r w:rsidRPr="00C604EE">
        <w:rPr>
          <w:rFonts w:ascii="Times New Roman" w:eastAsia="Times New Roman" w:hAnsi="Times New Roman" w:cs="Times New Roman"/>
          <w:b/>
          <w:bCs/>
          <w:spacing w:val="-3"/>
          <w:sz w:val="28"/>
          <w:szCs w:val="28"/>
        </w:rPr>
        <w:t>I</w:t>
      </w:r>
      <w:r w:rsidRPr="00C604EE">
        <w:rPr>
          <w:rFonts w:ascii="Times New Roman" w:eastAsia="Times New Roman" w:hAnsi="Times New Roman" w:cs="Times New Roman"/>
          <w:b/>
          <w:bCs/>
          <w:spacing w:val="2"/>
          <w:sz w:val="28"/>
          <w:szCs w:val="28"/>
        </w:rPr>
        <w:t>Ế</w:t>
      </w:r>
      <w:r w:rsidRPr="00C604EE">
        <w:rPr>
          <w:rFonts w:ascii="Times New Roman" w:eastAsia="Times New Roman" w:hAnsi="Times New Roman" w:cs="Times New Roman"/>
          <w:b/>
          <w:bCs/>
          <w:sz w:val="28"/>
          <w:szCs w:val="28"/>
        </w:rPr>
        <w:t xml:space="preserve">N </w:t>
      </w:r>
      <w:r w:rsidRPr="00C604EE">
        <w:rPr>
          <w:rFonts w:ascii="Times New Roman" w:eastAsia="Times New Roman" w:hAnsi="Times New Roman" w:cs="Times New Roman"/>
          <w:b/>
          <w:bCs/>
          <w:spacing w:val="3"/>
          <w:sz w:val="28"/>
          <w:szCs w:val="28"/>
        </w:rPr>
        <w:t>S</w:t>
      </w:r>
      <w:r w:rsidRPr="00C604EE">
        <w:rPr>
          <w:rFonts w:ascii="Times New Roman" w:eastAsia="Times New Roman" w:hAnsi="Times New Roman" w:cs="Times New Roman"/>
          <w:b/>
          <w:bCs/>
          <w:sz w:val="28"/>
          <w:szCs w:val="28"/>
        </w:rPr>
        <w:t>Ĩ</w:t>
      </w:r>
      <w:r w:rsidRPr="00C604EE">
        <w:rPr>
          <w:rFonts w:ascii="Times New Roman" w:eastAsia="Times New Roman" w:hAnsi="Times New Roman" w:cs="Times New Roman"/>
          <w:b/>
          <w:bCs/>
          <w:spacing w:val="-3"/>
          <w:sz w:val="28"/>
          <w:szCs w:val="28"/>
        </w:rPr>
        <w:t xml:space="preserve"> </w:t>
      </w:r>
      <w:r w:rsidRPr="00C604EE">
        <w:rPr>
          <w:rFonts w:ascii="Times New Roman" w:eastAsia="Times New Roman" w:hAnsi="Times New Roman" w:cs="Times New Roman"/>
          <w:b/>
          <w:bCs/>
          <w:spacing w:val="2"/>
          <w:sz w:val="28"/>
          <w:szCs w:val="28"/>
        </w:rPr>
        <w:t>LUẬT</w:t>
      </w:r>
    </w:p>
    <w:p w14:paraId="1F2F2316"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p>
    <w:p w14:paraId="6E61C740" w14:textId="77777777" w:rsidR="00CD2B98" w:rsidRDefault="00CD2B98" w:rsidP="00C604EE">
      <w:pPr>
        <w:spacing w:before="120" w:after="120" w:line="360" w:lineRule="auto"/>
        <w:jc w:val="center"/>
        <w:rPr>
          <w:rFonts w:ascii="Times New Roman" w:hAnsi="Times New Roman" w:cs="Times New Roman"/>
          <w:b/>
          <w:bCs/>
          <w:sz w:val="28"/>
          <w:szCs w:val="28"/>
          <w:lang w:val="vi-VN"/>
        </w:rPr>
      </w:pPr>
    </w:p>
    <w:p w14:paraId="2D991096" w14:textId="77777777" w:rsidR="00C604EE" w:rsidRDefault="00C604EE" w:rsidP="00C604EE">
      <w:pPr>
        <w:spacing w:before="120" w:after="120" w:line="360" w:lineRule="auto"/>
        <w:jc w:val="center"/>
        <w:rPr>
          <w:rFonts w:ascii="Times New Roman" w:hAnsi="Times New Roman" w:cs="Times New Roman"/>
          <w:b/>
          <w:bCs/>
          <w:sz w:val="28"/>
          <w:szCs w:val="28"/>
          <w:lang w:val="vi-VN"/>
        </w:rPr>
      </w:pPr>
    </w:p>
    <w:p w14:paraId="7378C1A5" w14:textId="77777777" w:rsidR="00C604EE" w:rsidRDefault="00C604EE" w:rsidP="00C604EE">
      <w:pPr>
        <w:spacing w:before="120" w:after="120" w:line="360" w:lineRule="auto"/>
        <w:jc w:val="center"/>
        <w:rPr>
          <w:rFonts w:ascii="Times New Roman" w:hAnsi="Times New Roman" w:cs="Times New Roman"/>
          <w:b/>
          <w:bCs/>
          <w:sz w:val="28"/>
          <w:szCs w:val="28"/>
          <w:lang w:val="vi-VN"/>
        </w:rPr>
      </w:pPr>
    </w:p>
    <w:p w14:paraId="7186B7E9" w14:textId="77777777" w:rsidR="00C604EE" w:rsidRPr="00C604EE" w:rsidRDefault="00C604EE" w:rsidP="00C604EE">
      <w:pPr>
        <w:spacing w:before="120" w:after="120" w:line="360" w:lineRule="auto"/>
        <w:jc w:val="center"/>
        <w:rPr>
          <w:rFonts w:ascii="Times New Roman" w:hAnsi="Times New Roman" w:cs="Times New Roman"/>
          <w:b/>
          <w:bCs/>
          <w:sz w:val="28"/>
          <w:szCs w:val="28"/>
          <w:lang w:val="vi-VN"/>
        </w:rPr>
      </w:pPr>
    </w:p>
    <w:p w14:paraId="1D6810C1" w14:textId="0BB833C9" w:rsidR="00CD2B98" w:rsidRDefault="00C604EE" w:rsidP="00C604EE">
      <w:pPr>
        <w:spacing w:before="120" w:after="120" w:line="360" w:lineRule="auto"/>
        <w:jc w:val="center"/>
        <w:rPr>
          <w:rFonts w:ascii="Times New Roman" w:eastAsia="Times New Roman" w:hAnsi="Times New Roman" w:cs="Times New Roman"/>
          <w:b/>
          <w:bCs/>
          <w:sz w:val="28"/>
          <w:szCs w:val="28"/>
        </w:rPr>
      </w:pPr>
      <w:r w:rsidRPr="00C604EE">
        <w:rPr>
          <w:rFonts w:ascii="Times New Roman" w:eastAsia="Times New Roman" w:hAnsi="Times New Roman" w:cs="Times New Roman"/>
          <w:b/>
          <w:bCs/>
          <w:spacing w:val="2"/>
          <w:sz w:val="28"/>
          <w:szCs w:val="28"/>
        </w:rPr>
        <w:t>T</w:t>
      </w:r>
      <w:r w:rsidRPr="00C604EE">
        <w:rPr>
          <w:rFonts w:ascii="Times New Roman" w:eastAsia="Times New Roman" w:hAnsi="Times New Roman" w:cs="Times New Roman"/>
          <w:b/>
          <w:bCs/>
          <w:sz w:val="28"/>
          <w:szCs w:val="28"/>
        </w:rPr>
        <w:t xml:space="preserve">P. </w:t>
      </w:r>
      <w:r w:rsidRPr="00C604EE">
        <w:rPr>
          <w:rFonts w:ascii="Times New Roman" w:eastAsia="Times New Roman" w:hAnsi="Times New Roman" w:cs="Times New Roman"/>
          <w:b/>
          <w:bCs/>
          <w:spacing w:val="-1"/>
          <w:sz w:val="28"/>
          <w:szCs w:val="28"/>
        </w:rPr>
        <w:t>H</w:t>
      </w:r>
      <w:r w:rsidRPr="00C604EE">
        <w:rPr>
          <w:rFonts w:ascii="Times New Roman" w:eastAsia="Times New Roman" w:hAnsi="Times New Roman" w:cs="Times New Roman"/>
          <w:b/>
          <w:bCs/>
          <w:sz w:val="28"/>
          <w:szCs w:val="28"/>
        </w:rPr>
        <w:t xml:space="preserve">Ồ </w:t>
      </w:r>
      <w:r w:rsidRPr="00C604EE">
        <w:rPr>
          <w:rFonts w:ascii="Times New Roman" w:eastAsia="Times New Roman" w:hAnsi="Times New Roman" w:cs="Times New Roman"/>
          <w:b/>
          <w:bCs/>
          <w:spacing w:val="-1"/>
          <w:sz w:val="28"/>
          <w:szCs w:val="28"/>
        </w:rPr>
        <w:t>C</w:t>
      </w:r>
      <w:r w:rsidRPr="00C604EE">
        <w:rPr>
          <w:rFonts w:ascii="Times New Roman" w:eastAsia="Times New Roman" w:hAnsi="Times New Roman" w:cs="Times New Roman"/>
          <w:b/>
          <w:bCs/>
          <w:spacing w:val="-2"/>
          <w:sz w:val="28"/>
          <w:szCs w:val="28"/>
        </w:rPr>
        <w:t>H</w:t>
      </w:r>
      <w:r w:rsidRPr="00C604EE">
        <w:rPr>
          <w:rFonts w:ascii="Times New Roman" w:eastAsia="Times New Roman" w:hAnsi="Times New Roman" w:cs="Times New Roman"/>
          <w:b/>
          <w:bCs/>
          <w:sz w:val="28"/>
          <w:szCs w:val="28"/>
        </w:rPr>
        <w:t>Í</w:t>
      </w:r>
      <w:r w:rsidRPr="00C604EE">
        <w:rPr>
          <w:rFonts w:ascii="Times New Roman" w:eastAsia="Times New Roman" w:hAnsi="Times New Roman" w:cs="Times New Roman"/>
          <w:b/>
          <w:bCs/>
          <w:spacing w:val="1"/>
          <w:sz w:val="28"/>
          <w:szCs w:val="28"/>
        </w:rPr>
        <w:t xml:space="preserve"> </w:t>
      </w:r>
      <w:r w:rsidRPr="00C604EE">
        <w:rPr>
          <w:rFonts w:ascii="Times New Roman" w:eastAsia="Times New Roman" w:hAnsi="Times New Roman" w:cs="Times New Roman"/>
          <w:b/>
          <w:bCs/>
          <w:spacing w:val="-2"/>
          <w:sz w:val="28"/>
          <w:szCs w:val="28"/>
        </w:rPr>
        <w:t>M</w:t>
      </w:r>
      <w:r w:rsidRPr="00C604EE">
        <w:rPr>
          <w:rFonts w:ascii="Times New Roman" w:eastAsia="Times New Roman" w:hAnsi="Times New Roman" w:cs="Times New Roman"/>
          <w:b/>
          <w:bCs/>
          <w:spacing w:val="1"/>
          <w:sz w:val="28"/>
          <w:szCs w:val="28"/>
        </w:rPr>
        <w:t>I</w:t>
      </w:r>
      <w:r w:rsidRPr="00C604EE">
        <w:rPr>
          <w:rFonts w:ascii="Times New Roman" w:eastAsia="Times New Roman" w:hAnsi="Times New Roman" w:cs="Times New Roman"/>
          <w:b/>
          <w:bCs/>
          <w:sz w:val="28"/>
          <w:szCs w:val="28"/>
        </w:rPr>
        <w:t>NH</w:t>
      </w:r>
      <w:r w:rsidRPr="00C604EE">
        <w:rPr>
          <w:rFonts w:ascii="Times New Roman" w:eastAsia="Times New Roman" w:hAnsi="Times New Roman" w:cs="Times New Roman"/>
          <w:b/>
          <w:bCs/>
          <w:spacing w:val="-2"/>
          <w:sz w:val="28"/>
          <w:szCs w:val="28"/>
        </w:rPr>
        <w:t xml:space="preserve"> </w:t>
      </w:r>
      <w:r>
        <w:rPr>
          <w:rFonts w:ascii="Times New Roman" w:eastAsia="Times New Roman" w:hAnsi="Times New Roman" w:cs="Times New Roman"/>
          <w:b/>
          <w:bCs/>
          <w:spacing w:val="-2"/>
          <w:sz w:val="28"/>
          <w:szCs w:val="28"/>
          <w:lang w:val="vi-VN"/>
        </w:rPr>
        <w:t xml:space="preserve">- </w:t>
      </w:r>
      <w:r w:rsidRPr="00C604EE">
        <w:rPr>
          <w:rFonts w:ascii="Times New Roman" w:eastAsia="Times New Roman" w:hAnsi="Times New Roman" w:cs="Times New Roman"/>
          <w:b/>
          <w:bCs/>
          <w:sz w:val="28"/>
          <w:szCs w:val="28"/>
        </w:rPr>
        <w:t>NĂM</w:t>
      </w:r>
      <w:r w:rsidRPr="00C604EE">
        <w:rPr>
          <w:rFonts w:ascii="Times New Roman" w:eastAsia="Times New Roman" w:hAnsi="Times New Roman" w:cs="Times New Roman"/>
          <w:b/>
          <w:bCs/>
          <w:spacing w:val="-3"/>
          <w:sz w:val="28"/>
          <w:szCs w:val="28"/>
        </w:rPr>
        <w:t xml:space="preserve"> </w:t>
      </w:r>
      <w:r w:rsidRPr="00C604EE">
        <w:rPr>
          <w:rFonts w:ascii="Times New Roman" w:eastAsia="Times New Roman" w:hAnsi="Times New Roman" w:cs="Times New Roman"/>
          <w:b/>
          <w:bCs/>
          <w:sz w:val="28"/>
          <w:szCs w:val="28"/>
        </w:rPr>
        <w:t>2024</w:t>
      </w:r>
    </w:p>
    <w:p w14:paraId="34A74B7C" w14:textId="10C7AF1E" w:rsidR="00093D67" w:rsidRDefault="00093D67" w:rsidP="00C604EE">
      <w:pPr>
        <w:spacing w:before="120" w:after="120" w:line="360" w:lineRule="auto"/>
        <w:jc w:val="center"/>
        <w:rPr>
          <w:rFonts w:ascii="Times New Roman" w:eastAsia="Times New Roman" w:hAnsi="Times New Roman" w:cs="Times New Roman"/>
          <w:b/>
          <w:bCs/>
          <w:sz w:val="28"/>
          <w:szCs w:val="28"/>
        </w:rPr>
      </w:pPr>
    </w:p>
    <w:p w14:paraId="5795BC15" w14:textId="77777777" w:rsidR="00093D67" w:rsidRPr="00C604EE" w:rsidRDefault="00093D67" w:rsidP="00C604EE">
      <w:pPr>
        <w:spacing w:before="120" w:after="120" w:line="360" w:lineRule="auto"/>
        <w:jc w:val="center"/>
        <w:rPr>
          <w:rFonts w:ascii="Times New Roman" w:eastAsia="Times New Roman" w:hAnsi="Times New Roman" w:cs="Times New Roman"/>
          <w:b/>
          <w:bCs/>
          <w:sz w:val="28"/>
          <w:szCs w:val="28"/>
        </w:rPr>
        <w:sectPr w:rsidR="00093D67" w:rsidRPr="00C604EE" w:rsidSect="00093D67">
          <w:type w:val="nextColumn"/>
          <w:pgSz w:w="11906" w:h="16838" w:code="9"/>
          <w:pgMar w:top="1276" w:right="1274" w:bottom="1701" w:left="1418" w:header="720" w:footer="720" w:gutter="0"/>
          <w:pgBorders w:display="firstPage">
            <w:top w:val="thinThickMediumGap" w:sz="24" w:space="1" w:color="auto"/>
            <w:left w:val="thinThickMediumGap" w:sz="24" w:space="4" w:color="auto"/>
            <w:bottom w:val="thickThinMediumGap" w:sz="24" w:space="1" w:color="auto"/>
            <w:right w:val="thickThinMediumGap" w:sz="24" w:space="4" w:color="auto"/>
          </w:pgBorders>
          <w:cols w:space="720"/>
          <w:docGrid w:linePitch="299"/>
        </w:sectPr>
      </w:pPr>
    </w:p>
    <w:p w14:paraId="3C57791B" w14:textId="4D5AF939" w:rsidR="00CD2B98" w:rsidRPr="00C604EE" w:rsidRDefault="00CD2B98" w:rsidP="00C604EE">
      <w:pPr>
        <w:spacing w:before="120" w:after="120" w:line="360" w:lineRule="auto"/>
        <w:jc w:val="center"/>
        <w:rPr>
          <w:rFonts w:ascii="Times New Roman" w:eastAsia="Times New Roman" w:hAnsi="Times New Roman" w:cs="Times New Roman"/>
          <w:b/>
          <w:bCs/>
          <w:sz w:val="28"/>
          <w:szCs w:val="28"/>
          <w:lang w:val="vi-VN"/>
        </w:rPr>
      </w:pPr>
      <w:r w:rsidRPr="00C604EE">
        <w:rPr>
          <w:rFonts w:ascii="Times New Roman" w:eastAsia="Times New Roman" w:hAnsi="Times New Roman" w:cs="Times New Roman"/>
          <w:b/>
          <w:bCs/>
          <w:spacing w:val="1"/>
          <w:sz w:val="28"/>
          <w:szCs w:val="28"/>
        </w:rPr>
        <w:lastRenderedPageBreak/>
        <w:t>Đ</w:t>
      </w:r>
      <w:r w:rsidRPr="00C604EE">
        <w:rPr>
          <w:rFonts w:ascii="Times New Roman" w:eastAsia="Times New Roman" w:hAnsi="Times New Roman" w:cs="Times New Roman"/>
          <w:b/>
          <w:bCs/>
          <w:spacing w:val="4"/>
          <w:sz w:val="28"/>
          <w:szCs w:val="28"/>
        </w:rPr>
        <w:t>Ạ</w:t>
      </w:r>
      <w:r w:rsidRPr="00C604EE">
        <w:rPr>
          <w:rFonts w:ascii="Times New Roman" w:eastAsia="Times New Roman" w:hAnsi="Times New Roman" w:cs="Times New Roman"/>
          <w:b/>
          <w:bCs/>
          <w:sz w:val="28"/>
          <w:szCs w:val="28"/>
        </w:rPr>
        <w:t>I</w:t>
      </w:r>
      <w:r w:rsidRPr="00C604EE">
        <w:rPr>
          <w:rFonts w:ascii="Times New Roman" w:eastAsia="Times New Roman" w:hAnsi="Times New Roman" w:cs="Times New Roman"/>
          <w:b/>
          <w:bCs/>
          <w:spacing w:val="8"/>
          <w:sz w:val="28"/>
          <w:szCs w:val="28"/>
        </w:rPr>
        <w:t xml:space="preserve"> </w:t>
      </w:r>
      <w:r w:rsidRPr="00C604EE">
        <w:rPr>
          <w:rFonts w:ascii="Times New Roman" w:eastAsia="Times New Roman" w:hAnsi="Times New Roman" w:cs="Times New Roman"/>
          <w:b/>
          <w:bCs/>
          <w:spacing w:val="-1"/>
          <w:sz w:val="28"/>
          <w:szCs w:val="28"/>
        </w:rPr>
        <w:t>HỌ</w:t>
      </w:r>
      <w:r w:rsidRPr="00C604EE">
        <w:rPr>
          <w:rFonts w:ascii="Times New Roman" w:eastAsia="Times New Roman" w:hAnsi="Times New Roman" w:cs="Times New Roman"/>
          <w:b/>
          <w:bCs/>
          <w:sz w:val="28"/>
          <w:szCs w:val="28"/>
        </w:rPr>
        <w:t>C</w:t>
      </w:r>
      <w:r w:rsidRPr="00C604EE">
        <w:rPr>
          <w:rFonts w:ascii="Times New Roman" w:eastAsia="Times New Roman" w:hAnsi="Times New Roman" w:cs="Times New Roman"/>
          <w:b/>
          <w:bCs/>
          <w:spacing w:val="11"/>
          <w:sz w:val="28"/>
          <w:szCs w:val="28"/>
        </w:rPr>
        <w:t xml:space="preserve"> </w:t>
      </w:r>
      <w:r w:rsidRPr="00C604EE">
        <w:rPr>
          <w:rFonts w:ascii="Times New Roman" w:eastAsia="Times New Roman" w:hAnsi="Times New Roman" w:cs="Times New Roman"/>
          <w:b/>
          <w:bCs/>
          <w:spacing w:val="-3"/>
          <w:sz w:val="28"/>
          <w:szCs w:val="28"/>
        </w:rPr>
        <w:t>QU</w:t>
      </w:r>
      <w:r w:rsidRPr="00C604EE">
        <w:rPr>
          <w:rFonts w:ascii="Times New Roman" w:eastAsia="Times New Roman" w:hAnsi="Times New Roman" w:cs="Times New Roman"/>
          <w:b/>
          <w:bCs/>
          <w:spacing w:val="-1"/>
          <w:sz w:val="28"/>
          <w:szCs w:val="28"/>
        </w:rPr>
        <w:t>Ố</w:t>
      </w:r>
      <w:r w:rsidRPr="00C604EE">
        <w:rPr>
          <w:rFonts w:ascii="Times New Roman" w:eastAsia="Times New Roman" w:hAnsi="Times New Roman" w:cs="Times New Roman"/>
          <w:b/>
          <w:bCs/>
          <w:sz w:val="28"/>
          <w:szCs w:val="28"/>
        </w:rPr>
        <w:t>C</w:t>
      </w:r>
      <w:r w:rsidRPr="00C604EE">
        <w:rPr>
          <w:rFonts w:ascii="Times New Roman" w:eastAsia="Times New Roman" w:hAnsi="Times New Roman" w:cs="Times New Roman"/>
          <w:b/>
          <w:bCs/>
          <w:spacing w:val="-6"/>
          <w:sz w:val="28"/>
          <w:szCs w:val="28"/>
        </w:rPr>
        <w:t xml:space="preserve"> </w:t>
      </w:r>
      <w:r w:rsidRPr="00C604EE">
        <w:rPr>
          <w:rFonts w:ascii="Times New Roman" w:eastAsia="Times New Roman" w:hAnsi="Times New Roman" w:cs="Times New Roman"/>
          <w:b/>
          <w:bCs/>
          <w:spacing w:val="-1"/>
          <w:sz w:val="28"/>
          <w:szCs w:val="28"/>
        </w:rPr>
        <w:t>G</w:t>
      </w:r>
      <w:r w:rsidRPr="00C604EE">
        <w:rPr>
          <w:rFonts w:ascii="Times New Roman" w:eastAsia="Times New Roman" w:hAnsi="Times New Roman" w:cs="Times New Roman"/>
          <w:b/>
          <w:bCs/>
          <w:spacing w:val="-4"/>
          <w:sz w:val="28"/>
          <w:szCs w:val="28"/>
        </w:rPr>
        <w:t>I</w:t>
      </w:r>
      <w:r w:rsidRPr="00C604EE">
        <w:rPr>
          <w:rFonts w:ascii="Times New Roman" w:eastAsia="Times New Roman" w:hAnsi="Times New Roman" w:cs="Times New Roman"/>
          <w:b/>
          <w:bCs/>
          <w:sz w:val="28"/>
          <w:szCs w:val="28"/>
        </w:rPr>
        <w:t>A</w:t>
      </w:r>
      <w:r w:rsidRPr="00C604EE">
        <w:rPr>
          <w:rFonts w:ascii="Times New Roman" w:eastAsia="Times New Roman" w:hAnsi="Times New Roman" w:cs="Times New Roman"/>
          <w:b/>
          <w:bCs/>
          <w:spacing w:val="-6"/>
          <w:sz w:val="28"/>
          <w:szCs w:val="28"/>
        </w:rPr>
        <w:t xml:space="preserve"> </w:t>
      </w:r>
      <w:r w:rsidR="00C604EE">
        <w:rPr>
          <w:rFonts w:ascii="Times New Roman" w:eastAsia="Times New Roman" w:hAnsi="Times New Roman" w:cs="Times New Roman"/>
          <w:b/>
          <w:bCs/>
          <w:sz w:val="28"/>
          <w:szCs w:val="28"/>
        </w:rPr>
        <w:t>THÀNH</w:t>
      </w:r>
      <w:r w:rsidR="00C604EE">
        <w:rPr>
          <w:rFonts w:ascii="Times New Roman" w:eastAsia="Times New Roman" w:hAnsi="Times New Roman" w:cs="Times New Roman"/>
          <w:b/>
          <w:bCs/>
          <w:sz w:val="28"/>
          <w:szCs w:val="28"/>
          <w:lang w:val="vi-VN"/>
        </w:rPr>
        <w:t xml:space="preserve"> PHỐ HỒ CHÍ MINH</w:t>
      </w:r>
    </w:p>
    <w:p w14:paraId="2D752D8C" w14:textId="77777777" w:rsidR="00CD2B98" w:rsidRPr="00C604EE" w:rsidRDefault="00CD2B98" w:rsidP="00C604EE">
      <w:pPr>
        <w:spacing w:before="120" w:after="120" w:line="360" w:lineRule="auto"/>
        <w:jc w:val="center"/>
        <w:rPr>
          <w:rFonts w:ascii="Times New Roman" w:eastAsia="Times New Roman" w:hAnsi="Times New Roman" w:cs="Times New Roman"/>
          <w:sz w:val="28"/>
          <w:szCs w:val="28"/>
        </w:rPr>
      </w:pPr>
      <w:r w:rsidRPr="00C604EE">
        <w:rPr>
          <w:rFonts w:ascii="Times New Roman" w:eastAsia="Times New Roman" w:hAnsi="Times New Roman" w:cs="Times New Roman"/>
          <w:b/>
          <w:bCs/>
          <w:spacing w:val="4"/>
          <w:w w:val="94"/>
          <w:sz w:val="28"/>
          <w:szCs w:val="28"/>
        </w:rPr>
        <w:t>TRƯ</w:t>
      </w:r>
      <w:r w:rsidRPr="00C604EE">
        <w:rPr>
          <w:rFonts w:ascii="Times New Roman" w:eastAsia="Times New Roman" w:hAnsi="Times New Roman" w:cs="Times New Roman"/>
          <w:b/>
          <w:bCs/>
          <w:spacing w:val="6"/>
          <w:w w:val="94"/>
          <w:sz w:val="28"/>
          <w:szCs w:val="28"/>
        </w:rPr>
        <w:t>Ờ</w:t>
      </w:r>
      <w:r w:rsidRPr="00C604EE">
        <w:rPr>
          <w:rFonts w:ascii="Times New Roman" w:eastAsia="Times New Roman" w:hAnsi="Times New Roman" w:cs="Times New Roman"/>
          <w:b/>
          <w:bCs/>
          <w:spacing w:val="4"/>
          <w:w w:val="94"/>
          <w:sz w:val="28"/>
          <w:szCs w:val="28"/>
        </w:rPr>
        <w:t>N</w:t>
      </w:r>
      <w:r w:rsidRPr="00C604EE">
        <w:rPr>
          <w:rFonts w:ascii="Times New Roman" w:eastAsia="Times New Roman" w:hAnsi="Times New Roman" w:cs="Times New Roman"/>
          <w:b/>
          <w:bCs/>
          <w:w w:val="94"/>
          <w:sz w:val="28"/>
          <w:szCs w:val="28"/>
        </w:rPr>
        <w:t>G</w:t>
      </w:r>
      <w:r w:rsidRPr="00C604EE">
        <w:rPr>
          <w:rFonts w:ascii="Times New Roman" w:eastAsia="Times New Roman" w:hAnsi="Times New Roman" w:cs="Times New Roman"/>
          <w:b/>
          <w:bCs/>
          <w:spacing w:val="16"/>
          <w:w w:val="94"/>
          <w:sz w:val="28"/>
          <w:szCs w:val="28"/>
        </w:rPr>
        <w:t xml:space="preserve"> </w:t>
      </w:r>
      <w:r w:rsidRPr="00C604EE">
        <w:rPr>
          <w:rFonts w:ascii="Times New Roman" w:eastAsia="Times New Roman" w:hAnsi="Times New Roman" w:cs="Times New Roman"/>
          <w:b/>
          <w:bCs/>
          <w:spacing w:val="5"/>
          <w:sz w:val="28"/>
          <w:szCs w:val="28"/>
        </w:rPr>
        <w:t>Đ</w:t>
      </w:r>
      <w:r w:rsidRPr="00C604EE">
        <w:rPr>
          <w:rFonts w:ascii="Times New Roman" w:eastAsia="Times New Roman" w:hAnsi="Times New Roman" w:cs="Times New Roman"/>
          <w:b/>
          <w:bCs/>
          <w:spacing w:val="4"/>
          <w:sz w:val="28"/>
          <w:szCs w:val="28"/>
        </w:rPr>
        <w:t>Ạ</w:t>
      </w:r>
      <w:r w:rsidRPr="00C604EE">
        <w:rPr>
          <w:rFonts w:ascii="Times New Roman" w:eastAsia="Times New Roman" w:hAnsi="Times New Roman" w:cs="Times New Roman"/>
          <w:b/>
          <w:bCs/>
          <w:sz w:val="28"/>
          <w:szCs w:val="28"/>
        </w:rPr>
        <w:t>I</w:t>
      </w:r>
      <w:r w:rsidRPr="00C604EE">
        <w:rPr>
          <w:rFonts w:ascii="Times New Roman" w:eastAsia="Times New Roman" w:hAnsi="Times New Roman" w:cs="Times New Roman"/>
          <w:b/>
          <w:bCs/>
          <w:spacing w:val="10"/>
          <w:sz w:val="28"/>
          <w:szCs w:val="28"/>
        </w:rPr>
        <w:t xml:space="preserve"> </w:t>
      </w:r>
      <w:r w:rsidRPr="00C604EE">
        <w:rPr>
          <w:rFonts w:ascii="Times New Roman" w:eastAsia="Times New Roman" w:hAnsi="Times New Roman" w:cs="Times New Roman"/>
          <w:b/>
          <w:bCs/>
          <w:spacing w:val="6"/>
          <w:sz w:val="28"/>
          <w:szCs w:val="28"/>
        </w:rPr>
        <w:t>HỌ</w:t>
      </w:r>
      <w:r w:rsidRPr="00C604EE">
        <w:rPr>
          <w:rFonts w:ascii="Times New Roman" w:eastAsia="Times New Roman" w:hAnsi="Times New Roman" w:cs="Times New Roman"/>
          <w:b/>
          <w:bCs/>
          <w:sz w:val="28"/>
          <w:szCs w:val="28"/>
        </w:rPr>
        <w:t>C</w:t>
      </w:r>
      <w:r w:rsidRPr="00C604EE">
        <w:rPr>
          <w:rFonts w:ascii="Times New Roman" w:eastAsia="Times New Roman" w:hAnsi="Times New Roman" w:cs="Times New Roman"/>
          <w:b/>
          <w:bCs/>
          <w:spacing w:val="8"/>
          <w:sz w:val="28"/>
          <w:szCs w:val="28"/>
        </w:rPr>
        <w:t xml:space="preserve"> </w:t>
      </w:r>
      <w:r w:rsidRPr="00C604EE">
        <w:rPr>
          <w:rFonts w:ascii="Times New Roman" w:eastAsia="Times New Roman" w:hAnsi="Times New Roman" w:cs="Times New Roman"/>
          <w:b/>
          <w:bCs/>
          <w:spacing w:val="6"/>
          <w:sz w:val="28"/>
          <w:szCs w:val="28"/>
        </w:rPr>
        <w:t>K</w:t>
      </w:r>
      <w:r w:rsidRPr="00C604EE">
        <w:rPr>
          <w:rFonts w:ascii="Times New Roman" w:eastAsia="Times New Roman" w:hAnsi="Times New Roman" w:cs="Times New Roman"/>
          <w:b/>
          <w:bCs/>
          <w:spacing w:val="3"/>
          <w:sz w:val="28"/>
          <w:szCs w:val="28"/>
        </w:rPr>
        <w:t>I</w:t>
      </w:r>
      <w:r w:rsidRPr="00C604EE">
        <w:rPr>
          <w:rFonts w:ascii="Times New Roman" w:eastAsia="Times New Roman" w:hAnsi="Times New Roman" w:cs="Times New Roman"/>
          <w:b/>
          <w:bCs/>
          <w:spacing w:val="4"/>
          <w:sz w:val="28"/>
          <w:szCs w:val="28"/>
        </w:rPr>
        <w:t>N</w:t>
      </w:r>
      <w:r w:rsidRPr="00C604EE">
        <w:rPr>
          <w:rFonts w:ascii="Times New Roman" w:eastAsia="Times New Roman" w:hAnsi="Times New Roman" w:cs="Times New Roman"/>
          <w:b/>
          <w:bCs/>
          <w:sz w:val="28"/>
          <w:szCs w:val="28"/>
        </w:rPr>
        <w:t>H</w:t>
      </w:r>
      <w:r w:rsidRPr="00C604EE">
        <w:rPr>
          <w:rFonts w:ascii="Times New Roman" w:eastAsia="Times New Roman" w:hAnsi="Times New Roman" w:cs="Times New Roman"/>
          <w:b/>
          <w:bCs/>
          <w:spacing w:val="10"/>
          <w:sz w:val="28"/>
          <w:szCs w:val="28"/>
        </w:rPr>
        <w:t xml:space="preserve"> </w:t>
      </w:r>
      <w:r w:rsidRPr="00C604EE">
        <w:rPr>
          <w:rFonts w:ascii="Times New Roman" w:eastAsia="Times New Roman" w:hAnsi="Times New Roman" w:cs="Times New Roman"/>
          <w:b/>
          <w:bCs/>
          <w:spacing w:val="6"/>
          <w:sz w:val="28"/>
          <w:szCs w:val="28"/>
        </w:rPr>
        <w:t>T</w:t>
      </w:r>
      <w:r w:rsidRPr="00C604EE">
        <w:rPr>
          <w:rFonts w:ascii="Times New Roman" w:eastAsia="Times New Roman" w:hAnsi="Times New Roman" w:cs="Times New Roman"/>
          <w:b/>
          <w:bCs/>
          <w:sz w:val="28"/>
          <w:szCs w:val="28"/>
        </w:rPr>
        <w:t>Ế</w:t>
      </w:r>
      <w:r w:rsidRPr="00C604EE">
        <w:rPr>
          <w:rFonts w:ascii="Times New Roman" w:eastAsia="Times New Roman" w:hAnsi="Times New Roman" w:cs="Times New Roman"/>
          <w:b/>
          <w:bCs/>
          <w:spacing w:val="9"/>
          <w:sz w:val="28"/>
          <w:szCs w:val="28"/>
        </w:rPr>
        <w:t xml:space="preserve"> </w:t>
      </w:r>
      <w:r w:rsidRPr="00C604EE">
        <w:rPr>
          <w:rFonts w:ascii="Times New Roman" w:eastAsia="Times New Roman" w:hAnsi="Times New Roman" w:cs="Times New Roman"/>
          <w:b/>
          <w:bCs/>
          <w:sz w:val="28"/>
          <w:szCs w:val="28"/>
        </w:rPr>
        <w:t>-</w:t>
      </w:r>
      <w:r w:rsidRPr="00C604EE">
        <w:rPr>
          <w:rFonts w:ascii="Times New Roman" w:eastAsia="Times New Roman" w:hAnsi="Times New Roman" w:cs="Times New Roman"/>
          <w:b/>
          <w:bCs/>
          <w:spacing w:val="11"/>
          <w:sz w:val="28"/>
          <w:szCs w:val="28"/>
        </w:rPr>
        <w:t xml:space="preserve"> </w:t>
      </w:r>
      <w:r w:rsidRPr="00C604EE">
        <w:rPr>
          <w:rFonts w:ascii="Times New Roman" w:eastAsia="Times New Roman" w:hAnsi="Times New Roman" w:cs="Times New Roman"/>
          <w:b/>
          <w:bCs/>
          <w:spacing w:val="4"/>
          <w:sz w:val="28"/>
          <w:szCs w:val="28"/>
        </w:rPr>
        <w:t>LUẬ</w:t>
      </w:r>
      <w:r w:rsidRPr="00C604EE">
        <w:rPr>
          <w:rFonts w:ascii="Times New Roman" w:eastAsia="Times New Roman" w:hAnsi="Times New Roman" w:cs="Times New Roman"/>
          <w:b/>
          <w:bCs/>
          <w:sz w:val="28"/>
          <w:szCs w:val="28"/>
        </w:rPr>
        <w:t>T</w:t>
      </w:r>
    </w:p>
    <w:p w14:paraId="5EDF4200" w14:textId="0D952D09" w:rsidR="00CD2B98" w:rsidRDefault="00CD2B98" w:rsidP="00C604EE">
      <w:pPr>
        <w:spacing w:before="120" w:after="120" w:line="360" w:lineRule="auto"/>
        <w:jc w:val="center"/>
        <w:rPr>
          <w:rFonts w:ascii="Times New Roman" w:hAnsi="Times New Roman" w:cs="Times New Roman"/>
          <w:sz w:val="28"/>
          <w:szCs w:val="28"/>
        </w:rPr>
      </w:pPr>
    </w:p>
    <w:p w14:paraId="2EED7C4D" w14:textId="77777777" w:rsidR="00AF1E72" w:rsidRPr="00C604EE" w:rsidRDefault="00AF1E72" w:rsidP="00C604EE">
      <w:pPr>
        <w:spacing w:before="120" w:after="120" w:line="360" w:lineRule="auto"/>
        <w:jc w:val="center"/>
        <w:rPr>
          <w:rFonts w:ascii="Times New Roman" w:hAnsi="Times New Roman" w:cs="Times New Roman"/>
          <w:sz w:val="28"/>
          <w:szCs w:val="28"/>
        </w:rPr>
      </w:pPr>
    </w:p>
    <w:p w14:paraId="4232951F" w14:textId="77777777" w:rsidR="00AF1E72" w:rsidRPr="00AF1E72" w:rsidRDefault="00AF1E72" w:rsidP="00AF1E72">
      <w:pPr>
        <w:spacing w:after="0" w:line="240" w:lineRule="auto"/>
        <w:jc w:val="center"/>
        <w:rPr>
          <w:rFonts w:ascii="Times New Roman" w:hAnsi="Times New Roman" w:cs="Times New Roman"/>
          <w:b/>
          <w:sz w:val="30"/>
          <w:szCs w:val="28"/>
        </w:rPr>
      </w:pPr>
      <w:r w:rsidRPr="00AF1E72">
        <w:rPr>
          <w:rFonts w:ascii="Times New Roman" w:hAnsi="Times New Roman" w:cs="Times New Roman"/>
          <w:b/>
          <w:sz w:val="30"/>
          <w:szCs w:val="28"/>
        </w:rPr>
        <w:t>TRẦN THỊ THU NGÂN</w:t>
      </w:r>
    </w:p>
    <w:p w14:paraId="35F3DF61" w14:textId="77777777" w:rsidR="00CD2B98" w:rsidRPr="00C604EE" w:rsidRDefault="00CD2B98" w:rsidP="00C604EE">
      <w:pPr>
        <w:spacing w:before="120" w:after="120" w:line="360" w:lineRule="auto"/>
        <w:jc w:val="center"/>
        <w:rPr>
          <w:rFonts w:ascii="Times New Roman" w:hAnsi="Times New Roman" w:cs="Times New Roman"/>
          <w:sz w:val="28"/>
          <w:szCs w:val="28"/>
        </w:rPr>
      </w:pPr>
    </w:p>
    <w:p w14:paraId="73378836" w14:textId="77777777" w:rsidR="00CD2B98" w:rsidRDefault="00CD2B98" w:rsidP="00C604EE">
      <w:pPr>
        <w:spacing w:before="120" w:after="120" w:line="360" w:lineRule="auto"/>
        <w:jc w:val="center"/>
        <w:rPr>
          <w:rFonts w:ascii="Times New Roman" w:hAnsi="Times New Roman" w:cs="Times New Roman"/>
          <w:sz w:val="28"/>
          <w:szCs w:val="28"/>
          <w:lang w:val="vi-VN"/>
        </w:rPr>
      </w:pPr>
    </w:p>
    <w:p w14:paraId="4D1874FC" w14:textId="77777777" w:rsidR="00C604EE" w:rsidRDefault="00C604EE" w:rsidP="00C604EE">
      <w:pPr>
        <w:spacing w:before="120" w:after="120" w:line="360" w:lineRule="auto"/>
        <w:jc w:val="center"/>
        <w:rPr>
          <w:rFonts w:ascii="Times New Roman" w:hAnsi="Times New Roman" w:cs="Times New Roman"/>
          <w:sz w:val="28"/>
          <w:szCs w:val="28"/>
          <w:lang w:val="vi-VN"/>
        </w:rPr>
      </w:pPr>
    </w:p>
    <w:p w14:paraId="24E83F01" w14:textId="77777777" w:rsidR="00C604EE" w:rsidRPr="00C604EE" w:rsidRDefault="00C604EE" w:rsidP="00C604EE">
      <w:pPr>
        <w:spacing w:before="120" w:after="120" w:line="360" w:lineRule="auto"/>
        <w:jc w:val="center"/>
        <w:rPr>
          <w:rFonts w:ascii="Times New Roman" w:hAnsi="Times New Roman" w:cs="Times New Roman"/>
          <w:sz w:val="28"/>
          <w:szCs w:val="28"/>
          <w:lang w:val="vi-VN"/>
        </w:rPr>
      </w:pPr>
    </w:p>
    <w:p w14:paraId="34718511" w14:textId="77777777" w:rsidR="00CD2B98" w:rsidRPr="00C604EE" w:rsidRDefault="000B38AC" w:rsidP="00C604EE">
      <w:pPr>
        <w:spacing w:before="120" w:after="120" w:line="360" w:lineRule="auto"/>
        <w:jc w:val="center"/>
        <w:rPr>
          <w:rFonts w:ascii="Times New Roman" w:eastAsia="Times New Roman" w:hAnsi="Times New Roman" w:cs="Times New Roman"/>
          <w:sz w:val="36"/>
          <w:szCs w:val="36"/>
        </w:rPr>
      </w:pPr>
      <w:r w:rsidRPr="00C604EE">
        <w:rPr>
          <w:rFonts w:ascii="Times New Roman" w:eastAsia="Times New Roman" w:hAnsi="Times New Roman" w:cs="Times New Roman"/>
          <w:b/>
          <w:bCs/>
          <w:sz w:val="36"/>
          <w:szCs w:val="36"/>
        </w:rPr>
        <w:t>PHÁP</w:t>
      </w:r>
      <w:r w:rsidR="00B96616" w:rsidRPr="00C604EE">
        <w:rPr>
          <w:rFonts w:ascii="Times New Roman" w:eastAsia="Times New Roman" w:hAnsi="Times New Roman" w:cs="Times New Roman"/>
          <w:b/>
          <w:bCs/>
          <w:sz w:val="36"/>
          <w:szCs w:val="36"/>
        </w:rPr>
        <w:t xml:space="preserve"> LUẬT VIỆT NAM VỀ THẺ THANH TOÁN</w:t>
      </w:r>
    </w:p>
    <w:p w14:paraId="01F2722F" w14:textId="77777777" w:rsidR="00CD2B98" w:rsidRPr="00C604EE" w:rsidRDefault="00CD2B98" w:rsidP="00C604EE">
      <w:pPr>
        <w:spacing w:before="120" w:after="120" w:line="360" w:lineRule="auto"/>
        <w:jc w:val="center"/>
        <w:rPr>
          <w:rFonts w:ascii="Times New Roman" w:hAnsi="Times New Roman" w:cs="Times New Roman"/>
          <w:sz w:val="28"/>
          <w:szCs w:val="28"/>
        </w:rPr>
      </w:pPr>
    </w:p>
    <w:p w14:paraId="7160EDE8" w14:textId="62443CAD" w:rsidR="00CD2B98" w:rsidRPr="00C604EE" w:rsidRDefault="00CD2B98" w:rsidP="00C604EE">
      <w:pPr>
        <w:spacing w:before="120" w:after="120" w:line="360" w:lineRule="auto"/>
        <w:jc w:val="center"/>
        <w:rPr>
          <w:rFonts w:ascii="Times New Roman" w:eastAsia="Times New Roman" w:hAnsi="Times New Roman" w:cs="Times New Roman"/>
          <w:i/>
          <w:iCs/>
          <w:sz w:val="28"/>
          <w:szCs w:val="28"/>
        </w:rPr>
      </w:pPr>
      <w:r w:rsidRPr="00C604EE">
        <w:rPr>
          <w:rFonts w:ascii="Times New Roman" w:eastAsia="Times New Roman" w:hAnsi="Times New Roman" w:cs="Times New Roman"/>
          <w:b/>
          <w:bCs/>
          <w:sz w:val="28"/>
          <w:szCs w:val="28"/>
        </w:rPr>
        <w:t>Ch</w:t>
      </w:r>
      <w:r w:rsidRPr="00C604EE">
        <w:rPr>
          <w:rFonts w:ascii="Times New Roman" w:eastAsia="Times New Roman" w:hAnsi="Times New Roman" w:cs="Times New Roman"/>
          <w:b/>
          <w:bCs/>
          <w:spacing w:val="2"/>
          <w:sz w:val="28"/>
          <w:szCs w:val="28"/>
        </w:rPr>
        <w:t>u</w:t>
      </w:r>
      <w:r w:rsidRPr="00C604EE">
        <w:rPr>
          <w:rFonts w:ascii="Times New Roman" w:eastAsia="Times New Roman" w:hAnsi="Times New Roman" w:cs="Times New Roman"/>
          <w:b/>
          <w:bCs/>
          <w:spacing w:val="-5"/>
          <w:sz w:val="28"/>
          <w:szCs w:val="28"/>
        </w:rPr>
        <w:t>y</w:t>
      </w:r>
      <w:r w:rsidRPr="00C604EE">
        <w:rPr>
          <w:rFonts w:ascii="Times New Roman" w:eastAsia="Times New Roman" w:hAnsi="Times New Roman" w:cs="Times New Roman"/>
          <w:b/>
          <w:bCs/>
          <w:spacing w:val="-1"/>
          <w:sz w:val="28"/>
          <w:szCs w:val="28"/>
        </w:rPr>
        <w:t>ê</w:t>
      </w:r>
      <w:r w:rsidRPr="00C604EE">
        <w:rPr>
          <w:rFonts w:ascii="Times New Roman" w:eastAsia="Times New Roman" w:hAnsi="Times New Roman" w:cs="Times New Roman"/>
          <w:b/>
          <w:bCs/>
          <w:sz w:val="28"/>
          <w:szCs w:val="28"/>
        </w:rPr>
        <w:t xml:space="preserve">n </w:t>
      </w:r>
      <w:r w:rsidRPr="00C604EE">
        <w:rPr>
          <w:rFonts w:ascii="Times New Roman" w:eastAsia="Times New Roman" w:hAnsi="Times New Roman" w:cs="Times New Roman"/>
          <w:b/>
          <w:bCs/>
          <w:spacing w:val="2"/>
          <w:sz w:val="28"/>
          <w:szCs w:val="28"/>
        </w:rPr>
        <w:t>n</w:t>
      </w:r>
      <w:r w:rsidRPr="00C604EE">
        <w:rPr>
          <w:rFonts w:ascii="Times New Roman" w:eastAsia="Times New Roman" w:hAnsi="Times New Roman" w:cs="Times New Roman"/>
          <w:b/>
          <w:bCs/>
          <w:sz w:val="28"/>
          <w:szCs w:val="28"/>
        </w:rPr>
        <w:t>g</w:t>
      </w:r>
      <w:r w:rsidRPr="00C604EE">
        <w:rPr>
          <w:rFonts w:ascii="Times New Roman" w:eastAsia="Times New Roman" w:hAnsi="Times New Roman" w:cs="Times New Roman"/>
          <w:b/>
          <w:bCs/>
          <w:spacing w:val="-1"/>
          <w:sz w:val="28"/>
          <w:szCs w:val="28"/>
        </w:rPr>
        <w:t>à</w:t>
      </w:r>
      <w:r w:rsidR="000B38AC" w:rsidRPr="00C604EE">
        <w:rPr>
          <w:rFonts w:ascii="Times New Roman" w:eastAsia="Times New Roman" w:hAnsi="Times New Roman" w:cs="Times New Roman"/>
          <w:b/>
          <w:bCs/>
          <w:sz w:val="28"/>
          <w:szCs w:val="28"/>
        </w:rPr>
        <w:t xml:space="preserve">nh: </w:t>
      </w:r>
      <w:r w:rsidR="000B38AC" w:rsidRPr="00C604EE">
        <w:rPr>
          <w:rFonts w:ascii="Times New Roman" w:eastAsia="Times New Roman" w:hAnsi="Times New Roman" w:cs="Times New Roman"/>
          <w:i/>
          <w:iCs/>
          <w:sz w:val="28"/>
          <w:szCs w:val="28"/>
        </w:rPr>
        <w:t>Luật K</w:t>
      </w:r>
      <w:r w:rsidRPr="00C604EE">
        <w:rPr>
          <w:rFonts w:ascii="Times New Roman" w:eastAsia="Times New Roman" w:hAnsi="Times New Roman" w:cs="Times New Roman"/>
          <w:i/>
          <w:iCs/>
          <w:sz w:val="28"/>
          <w:szCs w:val="28"/>
        </w:rPr>
        <w:t xml:space="preserve">inh </w:t>
      </w:r>
      <w:r w:rsidR="000B38AC" w:rsidRPr="00C604EE">
        <w:rPr>
          <w:rFonts w:ascii="Times New Roman" w:eastAsia="Times New Roman" w:hAnsi="Times New Roman" w:cs="Times New Roman"/>
          <w:i/>
          <w:iCs/>
          <w:spacing w:val="1"/>
          <w:sz w:val="28"/>
          <w:szCs w:val="28"/>
        </w:rPr>
        <w:t>T</w:t>
      </w:r>
      <w:r w:rsidRPr="00C604EE">
        <w:rPr>
          <w:rFonts w:ascii="Times New Roman" w:eastAsia="Times New Roman" w:hAnsi="Times New Roman" w:cs="Times New Roman"/>
          <w:i/>
          <w:iCs/>
          <w:sz w:val="28"/>
          <w:szCs w:val="28"/>
        </w:rPr>
        <w:t>ế</w:t>
      </w:r>
    </w:p>
    <w:p w14:paraId="2E93C5A8" w14:textId="6ED8B441" w:rsidR="00CD2B98" w:rsidRPr="00C604EE" w:rsidRDefault="00CD2B98" w:rsidP="00C604EE">
      <w:pPr>
        <w:spacing w:before="120" w:after="120" w:line="360" w:lineRule="auto"/>
        <w:jc w:val="center"/>
        <w:rPr>
          <w:rFonts w:ascii="Times New Roman" w:eastAsia="Times New Roman" w:hAnsi="Times New Roman" w:cs="Times New Roman"/>
          <w:i/>
          <w:iCs/>
          <w:sz w:val="28"/>
          <w:szCs w:val="28"/>
        </w:rPr>
      </w:pPr>
      <w:r w:rsidRPr="00C604EE">
        <w:rPr>
          <w:rFonts w:ascii="Times New Roman" w:eastAsia="Times New Roman" w:hAnsi="Times New Roman" w:cs="Times New Roman"/>
          <w:b/>
          <w:bCs/>
          <w:sz w:val="28"/>
          <w:szCs w:val="28"/>
        </w:rPr>
        <w:t xml:space="preserve">Mã số </w:t>
      </w:r>
      <w:r w:rsidRPr="00C604EE">
        <w:rPr>
          <w:rFonts w:ascii="Times New Roman" w:eastAsia="Times New Roman" w:hAnsi="Times New Roman" w:cs="Times New Roman"/>
          <w:b/>
          <w:bCs/>
          <w:spacing w:val="-1"/>
          <w:sz w:val="28"/>
          <w:szCs w:val="28"/>
        </w:rPr>
        <w:t>c</w:t>
      </w:r>
      <w:r w:rsidRPr="00C604EE">
        <w:rPr>
          <w:rFonts w:ascii="Times New Roman" w:eastAsia="Times New Roman" w:hAnsi="Times New Roman" w:cs="Times New Roman"/>
          <w:b/>
          <w:bCs/>
          <w:sz w:val="28"/>
          <w:szCs w:val="28"/>
        </w:rPr>
        <w:t>h</w:t>
      </w:r>
      <w:r w:rsidRPr="00C604EE">
        <w:rPr>
          <w:rFonts w:ascii="Times New Roman" w:eastAsia="Times New Roman" w:hAnsi="Times New Roman" w:cs="Times New Roman"/>
          <w:b/>
          <w:bCs/>
          <w:spacing w:val="5"/>
          <w:sz w:val="28"/>
          <w:szCs w:val="28"/>
        </w:rPr>
        <w:t>u</w:t>
      </w:r>
      <w:r w:rsidRPr="00C604EE">
        <w:rPr>
          <w:rFonts w:ascii="Times New Roman" w:eastAsia="Times New Roman" w:hAnsi="Times New Roman" w:cs="Times New Roman"/>
          <w:b/>
          <w:bCs/>
          <w:spacing w:val="-5"/>
          <w:sz w:val="28"/>
          <w:szCs w:val="28"/>
        </w:rPr>
        <w:t>y</w:t>
      </w:r>
      <w:r w:rsidRPr="00C604EE">
        <w:rPr>
          <w:rFonts w:ascii="Times New Roman" w:eastAsia="Times New Roman" w:hAnsi="Times New Roman" w:cs="Times New Roman"/>
          <w:b/>
          <w:bCs/>
          <w:spacing w:val="-1"/>
          <w:sz w:val="28"/>
          <w:szCs w:val="28"/>
        </w:rPr>
        <w:t>ê</w:t>
      </w:r>
      <w:r w:rsidRPr="00C604EE">
        <w:rPr>
          <w:rFonts w:ascii="Times New Roman" w:eastAsia="Times New Roman" w:hAnsi="Times New Roman" w:cs="Times New Roman"/>
          <w:b/>
          <w:bCs/>
          <w:sz w:val="28"/>
          <w:szCs w:val="28"/>
        </w:rPr>
        <w:t xml:space="preserve">n </w:t>
      </w:r>
      <w:r w:rsidRPr="00C604EE">
        <w:rPr>
          <w:rFonts w:ascii="Times New Roman" w:eastAsia="Times New Roman" w:hAnsi="Times New Roman" w:cs="Times New Roman"/>
          <w:b/>
          <w:bCs/>
          <w:spacing w:val="2"/>
          <w:sz w:val="28"/>
          <w:szCs w:val="28"/>
        </w:rPr>
        <w:t>n</w:t>
      </w:r>
      <w:r w:rsidRPr="00C604EE">
        <w:rPr>
          <w:rFonts w:ascii="Times New Roman" w:eastAsia="Times New Roman" w:hAnsi="Times New Roman" w:cs="Times New Roman"/>
          <w:b/>
          <w:bCs/>
          <w:spacing w:val="-2"/>
          <w:sz w:val="28"/>
          <w:szCs w:val="28"/>
        </w:rPr>
        <w:t>g</w:t>
      </w:r>
      <w:r w:rsidRPr="00C604EE">
        <w:rPr>
          <w:rFonts w:ascii="Times New Roman" w:eastAsia="Times New Roman" w:hAnsi="Times New Roman" w:cs="Times New Roman"/>
          <w:b/>
          <w:bCs/>
          <w:spacing w:val="-1"/>
          <w:sz w:val="28"/>
          <w:szCs w:val="28"/>
        </w:rPr>
        <w:t>à</w:t>
      </w:r>
      <w:r w:rsidRPr="00C604EE">
        <w:rPr>
          <w:rFonts w:ascii="Times New Roman" w:eastAsia="Times New Roman" w:hAnsi="Times New Roman" w:cs="Times New Roman"/>
          <w:b/>
          <w:bCs/>
          <w:sz w:val="28"/>
          <w:szCs w:val="28"/>
        </w:rPr>
        <w:t xml:space="preserve">nh: </w:t>
      </w:r>
      <w:r w:rsidRPr="00C604EE">
        <w:rPr>
          <w:rFonts w:ascii="Times New Roman" w:eastAsia="Times New Roman" w:hAnsi="Times New Roman" w:cs="Times New Roman"/>
          <w:i/>
          <w:iCs/>
          <w:sz w:val="28"/>
          <w:szCs w:val="28"/>
        </w:rPr>
        <w:t>62</w:t>
      </w:r>
      <w:r w:rsidRPr="00C604EE">
        <w:rPr>
          <w:rFonts w:ascii="Times New Roman" w:eastAsia="Times New Roman" w:hAnsi="Times New Roman" w:cs="Times New Roman"/>
          <w:i/>
          <w:iCs/>
          <w:spacing w:val="3"/>
          <w:sz w:val="28"/>
          <w:szCs w:val="28"/>
        </w:rPr>
        <w:t>.</w:t>
      </w:r>
      <w:r w:rsidR="000B38AC" w:rsidRPr="00C604EE">
        <w:rPr>
          <w:rFonts w:ascii="Times New Roman" w:eastAsia="Times New Roman" w:hAnsi="Times New Roman" w:cs="Times New Roman"/>
          <w:i/>
          <w:iCs/>
          <w:sz w:val="28"/>
          <w:szCs w:val="28"/>
        </w:rPr>
        <w:t>38.01.07</w:t>
      </w:r>
    </w:p>
    <w:p w14:paraId="761298EB"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p>
    <w:p w14:paraId="256A9D2D" w14:textId="77777777" w:rsidR="00AF1E72" w:rsidRPr="00AF1E72" w:rsidRDefault="00AF1E72" w:rsidP="00AF1E72">
      <w:pPr>
        <w:tabs>
          <w:tab w:val="left" w:pos="4678"/>
        </w:tabs>
        <w:spacing w:after="0" w:line="240" w:lineRule="auto"/>
        <w:rPr>
          <w:rFonts w:ascii="Times New Roman" w:hAnsi="Times New Roman" w:cs="Times New Roman"/>
          <w:b/>
          <w:sz w:val="26"/>
          <w:szCs w:val="26"/>
          <w:lang w:val="vi-VN"/>
        </w:rPr>
      </w:pPr>
      <w:r w:rsidRPr="00AF1E72">
        <w:rPr>
          <w:rFonts w:ascii="Times New Roman" w:hAnsi="Times New Roman" w:cs="Times New Roman"/>
          <w:b/>
          <w:sz w:val="26"/>
          <w:szCs w:val="26"/>
          <w:lang w:val="vi-VN"/>
        </w:rPr>
        <w:t>NGƯỜI HƯỚNG DẪN KHOA HỌC:</w:t>
      </w:r>
      <w:r w:rsidRPr="00AF1E72">
        <w:rPr>
          <w:rFonts w:ascii="Times New Roman" w:hAnsi="Times New Roman" w:cs="Times New Roman"/>
          <w:b/>
          <w:sz w:val="26"/>
          <w:szCs w:val="26"/>
          <w:lang w:val="vi-VN"/>
        </w:rPr>
        <w:tab/>
        <w:t>TS. PHẠM VĂN VÕ</w:t>
      </w:r>
    </w:p>
    <w:p w14:paraId="061C999F" w14:textId="77777777" w:rsidR="00AF1E72" w:rsidRPr="00AF1E72" w:rsidRDefault="00AF1E72" w:rsidP="00AF1E72">
      <w:pPr>
        <w:tabs>
          <w:tab w:val="left" w:pos="4678"/>
        </w:tabs>
        <w:spacing w:after="0" w:line="240" w:lineRule="auto"/>
        <w:rPr>
          <w:rFonts w:ascii="Times New Roman" w:hAnsi="Times New Roman" w:cs="Times New Roman"/>
          <w:b/>
          <w:sz w:val="26"/>
          <w:szCs w:val="26"/>
        </w:rPr>
      </w:pPr>
      <w:r w:rsidRPr="00AF1E72">
        <w:rPr>
          <w:rFonts w:ascii="Times New Roman" w:hAnsi="Times New Roman" w:cs="Times New Roman"/>
          <w:b/>
          <w:sz w:val="26"/>
          <w:szCs w:val="26"/>
        </w:rPr>
        <w:tab/>
        <w:t>TS. TRẦN THANH HƯƠNG</w:t>
      </w:r>
    </w:p>
    <w:p w14:paraId="123E2D2D" w14:textId="77777777" w:rsidR="00AF1E72" w:rsidRPr="002D3E2C" w:rsidRDefault="00AF1E72" w:rsidP="00AF1E72">
      <w:pPr>
        <w:spacing w:after="0" w:line="240" w:lineRule="auto"/>
        <w:rPr>
          <w:rFonts w:cs="Times New Roman"/>
          <w:b/>
          <w:sz w:val="26"/>
          <w:szCs w:val="26"/>
          <w:lang w:val="vi-VN"/>
        </w:rPr>
      </w:pPr>
    </w:p>
    <w:p w14:paraId="7657C49A" w14:textId="77777777" w:rsidR="00AF1E72" w:rsidRDefault="00AF1E72" w:rsidP="00AF1E72">
      <w:pPr>
        <w:tabs>
          <w:tab w:val="left" w:pos="4680"/>
        </w:tabs>
        <w:spacing w:before="120" w:after="120" w:line="360" w:lineRule="auto"/>
        <w:jc w:val="center"/>
        <w:rPr>
          <w:rFonts w:cs="Times New Roman"/>
          <w:b/>
          <w:i/>
          <w:color w:val="000000"/>
          <w:szCs w:val="28"/>
          <w:shd w:val="clear" w:color="auto" w:fill="FFFFFF"/>
          <w:lang w:val="vi-VN"/>
        </w:rPr>
      </w:pPr>
    </w:p>
    <w:p w14:paraId="1309FFC9"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p>
    <w:p w14:paraId="01A67BF1" w14:textId="77777777" w:rsidR="00CD2B98" w:rsidRPr="00C604EE" w:rsidRDefault="00CD2B98" w:rsidP="00C604EE">
      <w:pPr>
        <w:spacing w:before="120" w:after="120" w:line="360" w:lineRule="auto"/>
        <w:jc w:val="center"/>
        <w:rPr>
          <w:rFonts w:ascii="Times New Roman" w:hAnsi="Times New Roman" w:cs="Times New Roman"/>
          <w:b/>
          <w:bCs/>
          <w:sz w:val="28"/>
          <w:szCs w:val="28"/>
        </w:rPr>
      </w:pPr>
      <w:r w:rsidRPr="00C604EE">
        <w:rPr>
          <w:rFonts w:ascii="Times New Roman" w:eastAsia="Times New Roman" w:hAnsi="Times New Roman" w:cs="Times New Roman"/>
          <w:b/>
          <w:bCs/>
          <w:sz w:val="28"/>
          <w:szCs w:val="28"/>
        </w:rPr>
        <w:t xml:space="preserve">TÓM </w:t>
      </w:r>
      <w:r w:rsidRPr="00C604EE">
        <w:rPr>
          <w:rFonts w:ascii="Times New Roman" w:eastAsia="Times New Roman" w:hAnsi="Times New Roman" w:cs="Times New Roman"/>
          <w:b/>
          <w:bCs/>
          <w:spacing w:val="-1"/>
          <w:sz w:val="28"/>
          <w:szCs w:val="28"/>
        </w:rPr>
        <w:t>T</w:t>
      </w:r>
      <w:r w:rsidRPr="00C604EE">
        <w:rPr>
          <w:rFonts w:ascii="Times New Roman" w:eastAsia="Times New Roman" w:hAnsi="Times New Roman" w:cs="Times New Roman"/>
          <w:b/>
          <w:bCs/>
          <w:sz w:val="28"/>
          <w:szCs w:val="28"/>
        </w:rPr>
        <w:t>ẮT</w:t>
      </w:r>
      <w:r w:rsidRPr="00C604EE">
        <w:rPr>
          <w:rFonts w:ascii="Times New Roman" w:eastAsia="Times New Roman" w:hAnsi="Times New Roman" w:cs="Times New Roman"/>
          <w:b/>
          <w:bCs/>
          <w:spacing w:val="1"/>
          <w:sz w:val="28"/>
          <w:szCs w:val="28"/>
        </w:rPr>
        <w:t xml:space="preserve"> </w:t>
      </w:r>
      <w:r w:rsidRPr="00C604EE">
        <w:rPr>
          <w:rFonts w:ascii="Times New Roman" w:eastAsia="Times New Roman" w:hAnsi="Times New Roman" w:cs="Times New Roman"/>
          <w:b/>
          <w:bCs/>
          <w:spacing w:val="-3"/>
          <w:sz w:val="28"/>
          <w:szCs w:val="28"/>
        </w:rPr>
        <w:t>L</w:t>
      </w:r>
      <w:r w:rsidRPr="00C604EE">
        <w:rPr>
          <w:rFonts w:ascii="Times New Roman" w:eastAsia="Times New Roman" w:hAnsi="Times New Roman" w:cs="Times New Roman"/>
          <w:b/>
          <w:bCs/>
          <w:sz w:val="28"/>
          <w:szCs w:val="28"/>
        </w:rPr>
        <w:t>U</w:t>
      </w:r>
      <w:r w:rsidRPr="00C604EE">
        <w:rPr>
          <w:rFonts w:ascii="Times New Roman" w:eastAsia="Times New Roman" w:hAnsi="Times New Roman" w:cs="Times New Roman"/>
          <w:b/>
          <w:bCs/>
          <w:spacing w:val="-1"/>
          <w:sz w:val="28"/>
          <w:szCs w:val="28"/>
        </w:rPr>
        <w:t>Ậ</w:t>
      </w:r>
      <w:r w:rsidRPr="00C604EE">
        <w:rPr>
          <w:rFonts w:ascii="Times New Roman" w:eastAsia="Times New Roman" w:hAnsi="Times New Roman" w:cs="Times New Roman"/>
          <w:b/>
          <w:bCs/>
          <w:sz w:val="28"/>
          <w:szCs w:val="28"/>
        </w:rPr>
        <w:t>N</w:t>
      </w:r>
      <w:r w:rsidRPr="00C604EE">
        <w:rPr>
          <w:rFonts w:ascii="Times New Roman" w:eastAsia="Times New Roman" w:hAnsi="Times New Roman" w:cs="Times New Roman"/>
          <w:b/>
          <w:bCs/>
          <w:spacing w:val="2"/>
          <w:sz w:val="28"/>
          <w:szCs w:val="28"/>
        </w:rPr>
        <w:t xml:space="preserve"> </w:t>
      </w:r>
      <w:r w:rsidRPr="00C604EE">
        <w:rPr>
          <w:rFonts w:ascii="Times New Roman" w:eastAsia="Times New Roman" w:hAnsi="Times New Roman" w:cs="Times New Roman"/>
          <w:b/>
          <w:bCs/>
          <w:sz w:val="28"/>
          <w:szCs w:val="28"/>
        </w:rPr>
        <w:t xml:space="preserve">ÁN </w:t>
      </w:r>
      <w:r w:rsidRPr="00C604EE">
        <w:rPr>
          <w:rFonts w:ascii="Times New Roman" w:eastAsia="Times New Roman" w:hAnsi="Times New Roman" w:cs="Times New Roman"/>
          <w:b/>
          <w:bCs/>
          <w:spacing w:val="2"/>
          <w:sz w:val="28"/>
          <w:szCs w:val="28"/>
        </w:rPr>
        <w:t>T</w:t>
      </w:r>
      <w:r w:rsidRPr="00C604EE">
        <w:rPr>
          <w:rFonts w:ascii="Times New Roman" w:eastAsia="Times New Roman" w:hAnsi="Times New Roman" w:cs="Times New Roman"/>
          <w:b/>
          <w:bCs/>
          <w:spacing w:val="-3"/>
          <w:sz w:val="28"/>
          <w:szCs w:val="28"/>
        </w:rPr>
        <w:t>I</w:t>
      </w:r>
      <w:r w:rsidRPr="00C604EE">
        <w:rPr>
          <w:rFonts w:ascii="Times New Roman" w:eastAsia="Times New Roman" w:hAnsi="Times New Roman" w:cs="Times New Roman"/>
          <w:b/>
          <w:bCs/>
          <w:spacing w:val="2"/>
          <w:sz w:val="28"/>
          <w:szCs w:val="28"/>
        </w:rPr>
        <w:t>Ế</w:t>
      </w:r>
      <w:r w:rsidRPr="00C604EE">
        <w:rPr>
          <w:rFonts w:ascii="Times New Roman" w:eastAsia="Times New Roman" w:hAnsi="Times New Roman" w:cs="Times New Roman"/>
          <w:b/>
          <w:bCs/>
          <w:sz w:val="28"/>
          <w:szCs w:val="28"/>
        </w:rPr>
        <w:t xml:space="preserve">N </w:t>
      </w:r>
      <w:r w:rsidRPr="00C604EE">
        <w:rPr>
          <w:rFonts w:ascii="Times New Roman" w:eastAsia="Times New Roman" w:hAnsi="Times New Roman" w:cs="Times New Roman"/>
          <w:b/>
          <w:bCs/>
          <w:spacing w:val="3"/>
          <w:sz w:val="28"/>
          <w:szCs w:val="28"/>
        </w:rPr>
        <w:t>S</w:t>
      </w:r>
      <w:r w:rsidRPr="00C604EE">
        <w:rPr>
          <w:rFonts w:ascii="Times New Roman" w:eastAsia="Times New Roman" w:hAnsi="Times New Roman" w:cs="Times New Roman"/>
          <w:b/>
          <w:bCs/>
          <w:sz w:val="28"/>
          <w:szCs w:val="28"/>
        </w:rPr>
        <w:t>Ĩ</w:t>
      </w:r>
      <w:r w:rsidRPr="00C604EE">
        <w:rPr>
          <w:rFonts w:ascii="Times New Roman" w:eastAsia="Times New Roman" w:hAnsi="Times New Roman" w:cs="Times New Roman"/>
          <w:b/>
          <w:bCs/>
          <w:spacing w:val="-3"/>
          <w:sz w:val="28"/>
          <w:szCs w:val="28"/>
        </w:rPr>
        <w:t xml:space="preserve"> </w:t>
      </w:r>
      <w:r w:rsidR="000B38AC" w:rsidRPr="00C604EE">
        <w:rPr>
          <w:rFonts w:ascii="Times New Roman" w:eastAsia="Times New Roman" w:hAnsi="Times New Roman" w:cs="Times New Roman"/>
          <w:b/>
          <w:bCs/>
          <w:spacing w:val="2"/>
          <w:sz w:val="28"/>
          <w:szCs w:val="28"/>
        </w:rPr>
        <w:t>LUẬT</w:t>
      </w:r>
    </w:p>
    <w:p w14:paraId="0887785B" w14:textId="77777777" w:rsidR="00C604EE" w:rsidRPr="00C604EE" w:rsidRDefault="00C604EE" w:rsidP="00C604EE">
      <w:pPr>
        <w:spacing w:before="120" w:after="120" w:line="360" w:lineRule="auto"/>
        <w:jc w:val="center"/>
        <w:rPr>
          <w:rFonts w:ascii="Times New Roman" w:eastAsia="Times New Roman" w:hAnsi="Times New Roman" w:cs="Times New Roman"/>
          <w:b/>
          <w:bCs/>
          <w:spacing w:val="2"/>
          <w:sz w:val="28"/>
          <w:szCs w:val="28"/>
          <w:lang w:val="vi-VN"/>
        </w:rPr>
      </w:pPr>
    </w:p>
    <w:p w14:paraId="1C2C3B45" w14:textId="77777777" w:rsidR="00C604EE" w:rsidRDefault="00C604EE" w:rsidP="00C604EE">
      <w:pPr>
        <w:spacing w:before="120" w:after="120" w:line="360" w:lineRule="auto"/>
        <w:jc w:val="center"/>
        <w:rPr>
          <w:rFonts w:ascii="Times New Roman" w:eastAsia="Times New Roman" w:hAnsi="Times New Roman" w:cs="Times New Roman"/>
          <w:spacing w:val="2"/>
          <w:sz w:val="28"/>
          <w:szCs w:val="28"/>
          <w:lang w:val="vi-VN"/>
        </w:rPr>
      </w:pPr>
    </w:p>
    <w:p w14:paraId="2A248669" w14:textId="77777777" w:rsidR="00B96616" w:rsidRPr="00C604EE" w:rsidRDefault="00B96616" w:rsidP="00C604EE">
      <w:pPr>
        <w:spacing w:before="120" w:after="120" w:line="360" w:lineRule="auto"/>
        <w:jc w:val="center"/>
        <w:rPr>
          <w:rFonts w:ascii="Times New Roman" w:eastAsia="Times New Roman" w:hAnsi="Times New Roman" w:cs="Times New Roman"/>
          <w:b/>
          <w:bCs/>
          <w:spacing w:val="2"/>
          <w:sz w:val="28"/>
          <w:szCs w:val="28"/>
        </w:rPr>
      </w:pPr>
    </w:p>
    <w:p w14:paraId="56452483" w14:textId="788A9140" w:rsidR="00CD2B98" w:rsidRPr="00C604EE" w:rsidRDefault="00C604EE" w:rsidP="00C604EE">
      <w:pPr>
        <w:spacing w:before="120" w:after="120" w:line="360" w:lineRule="auto"/>
        <w:jc w:val="center"/>
        <w:rPr>
          <w:rFonts w:ascii="Times New Roman" w:eastAsia="Times New Roman" w:hAnsi="Times New Roman" w:cs="Times New Roman"/>
          <w:b/>
          <w:bCs/>
          <w:sz w:val="28"/>
          <w:szCs w:val="28"/>
        </w:rPr>
        <w:sectPr w:rsidR="00CD2B98" w:rsidRPr="00C604EE" w:rsidSect="00C604EE">
          <w:type w:val="continuous"/>
          <w:pgSz w:w="11906" w:h="16838" w:code="9"/>
          <w:pgMar w:top="1701" w:right="1134" w:bottom="1701" w:left="1985" w:header="720" w:footer="720" w:gutter="0"/>
          <w:pgNumType w:start="1"/>
          <w:cols w:space="720"/>
          <w:docGrid w:linePitch="299"/>
        </w:sectPr>
      </w:pPr>
      <w:r w:rsidRPr="00C604EE">
        <w:rPr>
          <w:rFonts w:ascii="Times New Roman" w:eastAsia="Times New Roman" w:hAnsi="Times New Roman" w:cs="Times New Roman"/>
          <w:b/>
          <w:bCs/>
          <w:spacing w:val="2"/>
          <w:sz w:val="28"/>
          <w:szCs w:val="28"/>
        </w:rPr>
        <w:t>T</w:t>
      </w:r>
      <w:r w:rsidRPr="00C604EE">
        <w:rPr>
          <w:rFonts w:ascii="Times New Roman" w:eastAsia="Times New Roman" w:hAnsi="Times New Roman" w:cs="Times New Roman"/>
          <w:b/>
          <w:bCs/>
          <w:sz w:val="28"/>
          <w:szCs w:val="28"/>
        </w:rPr>
        <w:t xml:space="preserve">P. </w:t>
      </w:r>
      <w:r w:rsidRPr="00C604EE">
        <w:rPr>
          <w:rFonts w:ascii="Times New Roman" w:eastAsia="Times New Roman" w:hAnsi="Times New Roman" w:cs="Times New Roman"/>
          <w:b/>
          <w:bCs/>
          <w:spacing w:val="-1"/>
          <w:sz w:val="28"/>
          <w:szCs w:val="28"/>
        </w:rPr>
        <w:t>H</w:t>
      </w:r>
      <w:r w:rsidRPr="00C604EE">
        <w:rPr>
          <w:rFonts w:ascii="Times New Roman" w:eastAsia="Times New Roman" w:hAnsi="Times New Roman" w:cs="Times New Roman"/>
          <w:b/>
          <w:bCs/>
          <w:sz w:val="28"/>
          <w:szCs w:val="28"/>
        </w:rPr>
        <w:t xml:space="preserve">Ồ </w:t>
      </w:r>
      <w:r w:rsidRPr="00C604EE">
        <w:rPr>
          <w:rFonts w:ascii="Times New Roman" w:eastAsia="Times New Roman" w:hAnsi="Times New Roman" w:cs="Times New Roman"/>
          <w:b/>
          <w:bCs/>
          <w:spacing w:val="-1"/>
          <w:sz w:val="28"/>
          <w:szCs w:val="28"/>
        </w:rPr>
        <w:t>C</w:t>
      </w:r>
      <w:r w:rsidRPr="00C604EE">
        <w:rPr>
          <w:rFonts w:ascii="Times New Roman" w:eastAsia="Times New Roman" w:hAnsi="Times New Roman" w:cs="Times New Roman"/>
          <w:b/>
          <w:bCs/>
          <w:spacing w:val="-2"/>
          <w:sz w:val="28"/>
          <w:szCs w:val="28"/>
        </w:rPr>
        <w:t>H</w:t>
      </w:r>
      <w:r w:rsidRPr="00C604EE">
        <w:rPr>
          <w:rFonts w:ascii="Times New Roman" w:eastAsia="Times New Roman" w:hAnsi="Times New Roman" w:cs="Times New Roman"/>
          <w:b/>
          <w:bCs/>
          <w:sz w:val="28"/>
          <w:szCs w:val="28"/>
        </w:rPr>
        <w:t>Í</w:t>
      </w:r>
      <w:r w:rsidRPr="00C604EE">
        <w:rPr>
          <w:rFonts w:ascii="Times New Roman" w:eastAsia="Times New Roman" w:hAnsi="Times New Roman" w:cs="Times New Roman"/>
          <w:b/>
          <w:bCs/>
          <w:spacing w:val="1"/>
          <w:sz w:val="28"/>
          <w:szCs w:val="28"/>
        </w:rPr>
        <w:t xml:space="preserve"> </w:t>
      </w:r>
      <w:r w:rsidRPr="00C604EE">
        <w:rPr>
          <w:rFonts w:ascii="Times New Roman" w:eastAsia="Times New Roman" w:hAnsi="Times New Roman" w:cs="Times New Roman"/>
          <w:b/>
          <w:bCs/>
          <w:spacing w:val="-2"/>
          <w:sz w:val="28"/>
          <w:szCs w:val="28"/>
        </w:rPr>
        <w:t>M</w:t>
      </w:r>
      <w:r w:rsidRPr="00C604EE">
        <w:rPr>
          <w:rFonts w:ascii="Times New Roman" w:eastAsia="Times New Roman" w:hAnsi="Times New Roman" w:cs="Times New Roman"/>
          <w:b/>
          <w:bCs/>
          <w:spacing w:val="1"/>
          <w:sz w:val="28"/>
          <w:szCs w:val="28"/>
        </w:rPr>
        <w:t>I</w:t>
      </w:r>
      <w:r w:rsidRPr="00C604EE">
        <w:rPr>
          <w:rFonts w:ascii="Times New Roman" w:eastAsia="Times New Roman" w:hAnsi="Times New Roman" w:cs="Times New Roman"/>
          <w:b/>
          <w:bCs/>
          <w:sz w:val="28"/>
          <w:szCs w:val="28"/>
        </w:rPr>
        <w:t>NH</w:t>
      </w:r>
      <w:r w:rsidRPr="00C604EE">
        <w:rPr>
          <w:rFonts w:ascii="Times New Roman" w:eastAsia="Times New Roman" w:hAnsi="Times New Roman" w:cs="Times New Roman"/>
          <w:b/>
          <w:bCs/>
          <w:spacing w:val="-2"/>
          <w:sz w:val="28"/>
          <w:szCs w:val="28"/>
        </w:rPr>
        <w:t xml:space="preserve"> </w:t>
      </w:r>
      <w:r w:rsidRPr="00C604EE">
        <w:rPr>
          <w:rFonts w:ascii="Times New Roman" w:eastAsia="Times New Roman" w:hAnsi="Times New Roman" w:cs="Times New Roman"/>
          <w:b/>
          <w:bCs/>
          <w:spacing w:val="-2"/>
          <w:sz w:val="28"/>
          <w:szCs w:val="28"/>
          <w:lang w:val="vi-VN"/>
        </w:rPr>
        <w:t xml:space="preserve">- </w:t>
      </w:r>
      <w:r w:rsidRPr="00C604EE">
        <w:rPr>
          <w:rFonts w:ascii="Times New Roman" w:eastAsia="Times New Roman" w:hAnsi="Times New Roman" w:cs="Times New Roman"/>
          <w:b/>
          <w:bCs/>
          <w:sz w:val="28"/>
          <w:szCs w:val="28"/>
        </w:rPr>
        <w:t>NĂM 2024</w:t>
      </w:r>
    </w:p>
    <w:p w14:paraId="1E622CC2" w14:textId="77777777" w:rsidR="00E05E21" w:rsidRPr="00B57019" w:rsidRDefault="00A90D95" w:rsidP="00C604EE">
      <w:pPr>
        <w:pStyle w:val="Title"/>
        <w:rPr>
          <w:rFonts w:eastAsia="Times New Roman" w:cs="Times New Roman"/>
          <w:spacing w:val="0"/>
          <w:sz w:val="32"/>
          <w:szCs w:val="32"/>
          <w:lang w:val="vi-VN"/>
        </w:rPr>
      </w:pPr>
      <w:r w:rsidRPr="00B57019">
        <w:rPr>
          <w:rFonts w:eastAsia="Times New Roman" w:cs="Times New Roman"/>
          <w:spacing w:val="0"/>
          <w:sz w:val="32"/>
          <w:szCs w:val="32"/>
        </w:rPr>
        <w:lastRenderedPageBreak/>
        <w:t>MỞ ĐẦU</w:t>
      </w:r>
    </w:p>
    <w:p w14:paraId="5065C301" w14:textId="6AF6F000" w:rsidR="00E05E21" w:rsidRPr="00B57019" w:rsidRDefault="00AF037D" w:rsidP="00E05E21">
      <w:pPr>
        <w:pStyle w:val="sub"/>
        <w:rPr>
          <w:spacing w:val="0"/>
          <w:sz w:val="32"/>
          <w:szCs w:val="32"/>
          <w:lang w:val="vi-VN"/>
        </w:rPr>
      </w:pPr>
      <w:r w:rsidRPr="00B57019">
        <w:rPr>
          <w:spacing w:val="0"/>
          <w:sz w:val="32"/>
          <w:szCs w:val="32"/>
        </w:rPr>
        <w:t xml:space="preserve">1. </w:t>
      </w:r>
      <w:r w:rsidR="008A6A96" w:rsidRPr="00B57019">
        <w:rPr>
          <w:spacing w:val="0"/>
          <w:sz w:val="32"/>
          <w:szCs w:val="32"/>
        </w:rPr>
        <w:t xml:space="preserve">Lý do chọn đề tài nghiên cứu </w:t>
      </w:r>
    </w:p>
    <w:p w14:paraId="1224DA5D" w14:textId="49BE4641" w:rsidR="00B96616" w:rsidRPr="00093D67" w:rsidRDefault="00B96616" w:rsidP="00E05E21">
      <w:pPr>
        <w:pStyle w:val="NOR"/>
        <w:rPr>
          <w:sz w:val="28"/>
          <w:szCs w:val="28"/>
        </w:rPr>
      </w:pPr>
      <w:r w:rsidRPr="00093D67">
        <w:rPr>
          <w:sz w:val="28"/>
          <w:szCs w:val="28"/>
        </w:rPr>
        <w:t>Thanh toán không dùng tiền mặt đóng vai trò rất quan trọng đối với nền kinh tế, hoạt động thanh toán không dùng tiền mặt vừa giúp cho các chủ thể tiết kiệm chi phí vừa đảm bảo an toàn lại vừa giúp cho hoạt động quản lý nhà nước về tiền tệ được kiểm soát chặt chẽ. Nền kinh tế muốn phát triển thì lưu thông hàng hóa phải được chú trọng và tạo điều kiện tối đa. Để hàng hóa được lưu thông thuận lợi thì hoạt động thanh toán giữa các chủ thể phải được đảm bảo.  Một trong các hình thức thanh toán không dùng tiền mặt được ưa chuộng vì tính tiện lợi được rất nhiều các quốc gia trên thế giới lựa chọn, đó là thanh toán bằng thẻ thanh toán. Thẻ thanh toán là phương thức thanh toán thông dụng trên thế giới. Hiện nay ở Việt Nam, mặc dù thanh toán này ra đời ra muộn, tuy nhiên, sau gần 30 năm triển khai hình thức thanh toán này, người dân Việt Nam đã dần quen và ngày càng nhiều người lựa chọn hình thức thanh toán bằng thẻ. Nhu cầu thanh toán bằng thẻ ngân hàng ngày càng nhiều thì yêu cầu đặt ra đối với Nhà nước cần phải hoàn thiện các quy định pháp luật đến hoạt động thanh toán bằng thẻ, đặc biệt là thẻ thanh toán vì đây là phương thức thanh toán bằng thẻ được nhiều khách hàng lựa chọn.  Những năm qua Ngân hàng Nhà nước với tư cách là chủ thể quản lý hoạt động thanh toán không dùng tiền mặt, hệ thống ngân hàng đã ban hành khá nhiều văn bản điều chỉnh hoạt động thanh toán bằng thẻ.  Tuy nhiên, khi áp dụng các văn bản này trong thực tế vẫn còn khá nhiều vướng mắc. Các quy định về trách nhiệm của chủ thể phát hành thẻ, quy định về quản lý thẻ, quy định về lãi suất khi sử dụng thẻ, rút tiền mặt từ thẻ tín dụng… vẫn còn chưa cụ thể, rõ ràng nên tranh chấp của các bên tham gia vào hoạt động thanh toán thẻ vẫn xảy ra thường xuyên.</w:t>
      </w:r>
    </w:p>
    <w:p w14:paraId="2AD9DC75" w14:textId="77777777" w:rsidR="00B96616" w:rsidRPr="00093D67" w:rsidRDefault="00B96616" w:rsidP="00E05E21">
      <w:pPr>
        <w:pStyle w:val="NOR"/>
        <w:rPr>
          <w:sz w:val="28"/>
          <w:szCs w:val="28"/>
        </w:rPr>
      </w:pPr>
      <w:r w:rsidRPr="00093D67">
        <w:rPr>
          <w:sz w:val="28"/>
          <w:szCs w:val="28"/>
        </w:rPr>
        <w:t>Để đảm bảo an toàn cho các chủ thể khi tham gia thanh toán thẻ và tạo điều kiện cho các ngân hàng cung cấp tốt dịch vụ thanh toán thẻ, đảm bảo đây là phương thức thanh toán mang lại nhiều lợi ích và vai trò cho nền kinh tế thì pháp luật điều chỉnh hoạt động thẻ ngân hàng cần phải được hoàn thiện. Vì những lý do trên đây, tác giả đã chọn đề tài “Pháp luật Việt Nam về thẻ thanh toán” làm luận án tiến sĩ.</w:t>
      </w:r>
    </w:p>
    <w:p w14:paraId="02EB309A" w14:textId="77777777" w:rsidR="00A0057D" w:rsidRPr="00093D67" w:rsidRDefault="00ED176B" w:rsidP="00E05E21">
      <w:pPr>
        <w:pStyle w:val="sub"/>
        <w:rPr>
          <w:sz w:val="28"/>
          <w:szCs w:val="28"/>
        </w:rPr>
      </w:pPr>
      <w:r w:rsidRPr="00093D67">
        <w:rPr>
          <w:sz w:val="28"/>
          <w:szCs w:val="28"/>
        </w:rPr>
        <w:t xml:space="preserve">2. </w:t>
      </w:r>
      <w:r w:rsidR="008A6A96" w:rsidRPr="00093D67">
        <w:rPr>
          <w:sz w:val="28"/>
          <w:szCs w:val="28"/>
        </w:rPr>
        <w:t>Mục tiêu nghiên cứu và nhiệm vụ nghiên cứu</w:t>
      </w:r>
    </w:p>
    <w:p w14:paraId="13B42AFC" w14:textId="77777777" w:rsidR="00EB43B7" w:rsidRPr="00093D67" w:rsidRDefault="00EB43B7" w:rsidP="00E05E21">
      <w:pPr>
        <w:pStyle w:val="Style1"/>
        <w:rPr>
          <w:sz w:val="28"/>
          <w:szCs w:val="28"/>
        </w:rPr>
      </w:pPr>
      <w:r w:rsidRPr="00093D67">
        <w:rPr>
          <w:sz w:val="28"/>
          <w:szCs w:val="28"/>
        </w:rPr>
        <w:t>2.1. Mục tiêu nghiên cứu</w:t>
      </w:r>
    </w:p>
    <w:p w14:paraId="01E1D161" w14:textId="77777777" w:rsidR="00A0057D" w:rsidRPr="00093D67" w:rsidRDefault="00B96616" w:rsidP="00E05E21">
      <w:pPr>
        <w:pStyle w:val="NOR"/>
        <w:rPr>
          <w:sz w:val="28"/>
          <w:szCs w:val="28"/>
        </w:rPr>
      </w:pPr>
      <w:r w:rsidRPr="00093D67">
        <w:rPr>
          <w:sz w:val="28"/>
          <w:szCs w:val="28"/>
        </w:rPr>
        <w:t xml:space="preserve">Luận án có mục tiêu xây dựng được những lý luận cơ bản của pháp luật về hoạt động </w:t>
      </w:r>
      <w:r w:rsidRPr="00093D67">
        <w:rPr>
          <w:sz w:val="28"/>
          <w:szCs w:val="28"/>
        </w:rPr>
        <w:lastRenderedPageBreak/>
        <w:t>phát hành, sử dụng thẻ; đưa ra được các phân tích, đánh giá thực trạng pháp luật về hoạt động thẻ</w:t>
      </w:r>
      <w:r w:rsidR="00FA5E40" w:rsidRPr="00093D67">
        <w:rPr>
          <w:sz w:val="28"/>
          <w:szCs w:val="28"/>
        </w:rPr>
        <w:t xml:space="preserve"> thanh toán</w:t>
      </w:r>
      <w:r w:rsidRPr="00093D67">
        <w:rPr>
          <w:sz w:val="28"/>
          <w:szCs w:val="28"/>
        </w:rPr>
        <w:t xml:space="preserve"> tại Việt Nam. Trên cơ sở đó tác giả kiến nghị các giải pháp hoàn thiện pháp luật về hoạt động thẻ trong bối cảnh hội nhập kinh tế quốc tế và đặc biệt là trong thời kỳ kinh tế số nhằm mục tiêu cuối cùng của vấn đề chính là tìm ra các giải pháp pháp lý hiệu quả bảo đảm quyền lợi của chủ thể sử dụng thẻ thanh toán.</w:t>
      </w:r>
    </w:p>
    <w:p w14:paraId="4F2A39D3" w14:textId="77777777" w:rsidR="00EB43B7" w:rsidRPr="00093D67" w:rsidRDefault="00EB43B7" w:rsidP="00E05E21">
      <w:pPr>
        <w:pStyle w:val="NOR"/>
        <w:rPr>
          <w:b/>
          <w:i/>
          <w:sz w:val="28"/>
          <w:szCs w:val="28"/>
        </w:rPr>
      </w:pPr>
      <w:r w:rsidRPr="00093D67">
        <w:rPr>
          <w:b/>
          <w:i/>
          <w:sz w:val="28"/>
          <w:szCs w:val="28"/>
        </w:rPr>
        <w:t>2.2. Nhiệm vụ nghiên cứu</w:t>
      </w:r>
    </w:p>
    <w:p w14:paraId="21F9275A" w14:textId="77777777" w:rsidR="00EB43B7" w:rsidRPr="00093D67" w:rsidRDefault="00EB43B7" w:rsidP="00E05E21">
      <w:pPr>
        <w:pStyle w:val="NOR"/>
        <w:rPr>
          <w:sz w:val="28"/>
          <w:szCs w:val="28"/>
        </w:rPr>
      </w:pPr>
      <w:r w:rsidRPr="00093D67">
        <w:rPr>
          <w:sz w:val="28"/>
          <w:szCs w:val="28"/>
        </w:rPr>
        <w:t>Để đạt được mục tiêu nghiên cứu, luận án đặt ra các nhiệm vụ cụ thể như sau:</w:t>
      </w:r>
    </w:p>
    <w:p w14:paraId="6E676E0D" w14:textId="77777777" w:rsidR="00EB43B7" w:rsidRPr="00093D67" w:rsidRDefault="00EB43B7" w:rsidP="00E05E21">
      <w:pPr>
        <w:pStyle w:val="NOR"/>
        <w:rPr>
          <w:sz w:val="28"/>
          <w:szCs w:val="28"/>
        </w:rPr>
      </w:pPr>
      <w:r w:rsidRPr="00093D67">
        <w:rPr>
          <w:sz w:val="28"/>
          <w:szCs w:val="28"/>
        </w:rPr>
        <w:t>Hệ thống hóa một số vấn đề lý luận cơ bản liên quan đến hoạt động thẻ ngân hàng, pháp luật điều chỉnh hoạt động thẻ ngân hàng từ khi xuất hiện cho tới nay.</w:t>
      </w:r>
    </w:p>
    <w:p w14:paraId="10F5D812" w14:textId="77777777" w:rsidR="00EB43B7" w:rsidRPr="00093D67" w:rsidRDefault="00EB43B7" w:rsidP="00E05E21">
      <w:pPr>
        <w:pStyle w:val="NOR"/>
        <w:rPr>
          <w:spacing w:val="-4"/>
          <w:sz w:val="28"/>
          <w:szCs w:val="28"/>
        </w:rPr>
      </w:pPr>
      <w:r w:rsidRPr="00093D67">
        <w:rPr>
          <w:spacing w:val="-4"/>
          <w:sz w:val="28"/>
          <w:szCs w:val="28"/>
        </w:rPr>
        <w:t>Nghiên cứu kinh nghiệm của các quốc gia phát triển, đang phát triển trong quản lý hoạt động thẻ ngân hàng. Từ đó rút ra bài học cần thiết đối với Việt Nam trong quản lý hoạt động thẻ ngân hàng.</w:t>
      </w:r>
    </w:p>
    <w:p w14:paraId="426EDB05" w14:textId="77777777" w:rsidR="00EB43B7" w:rsidRPr="00093D67" w:rsidRDefault="00EB43B7" w:rsidP="00E05E21">
      <w:pPr>
        <w:pStyle w:val="NOR"/>
        <w:rPr>
          <w:sz w:val="28"/>
          <w:szCs w:val="28"/>
        </w:rPr>
      </w:pPr>
      <w:r w:rsidRPr="00093D67">
        <w:rPr>
          <w:sz w:val="28"/>
          <w:szCs w:val="28"/>
        </w:rPr>
        <w:t>Phân tích, đánh giá thực trạng các quy định pháp luật trong hoạt động thẻ ngân hàng trong điều kiện đổi mới ở Việt Nam. Qua các phân tích cũng như các đánh giá đó chỉ ra những bất cập, những hạn chế cần phải hoàn thiện, nhằm mục đích đáp ứng tốt xu thế vận động mới của xu thế hội nhập kinh tế quốc tế.</w:t>
      </w:r>
    </w:p>
    <w:p w14:paraId="31D5164D" w14:textId="77777777" w:rsidR="00EB43B7" w:rsidRPr="00093D67" w:rsidRDefault="00EB43B7" w:rsidP="00E05E21">
      <w:pPr>
        <w:pStyle w:val="NOR"/>
        <w:rPr>
          <w:sz w:val="28"/>
          <w:szCs w:val="28"/>
        </w:rPr>
      </w:pPr>
      <w:r w:rsidRPr="00093D67">
        <w:rPr>
          <w:sz w:val="28"/>
          <w:szCs w:val="28"/>
        </w:rPr>
        <w:t>Đề xuất các phương hướng cũng như hệ thống những giải pháp nhằm mục đích hoàn thiện các quy định của pháp luật về hoạt động thẻ ngân hàng ở Việt Nam, đảm bảo dịch vụ thanh toán thẻ nói riêng và hoạt động thanh toán không dùng tiền mặt nói chung tại các ngân hàng thương mại Việt Nam phát triển một cách toàn diện.</w:t>
      </w:r>
    </w:p>
    <w:p w14:paraId="56C54663" w14:textId="77777777" w:rsidR="00ED176B" w:rsidRPr="00093D67" w:rsidRDefault="00ED176B" w:rsidP="00E05E21">
      <w:pPr>
        <w:pStyle w:val="sub"/>
        <w:rPr>
          <w:sz w:val="28"/>
          <w:szCs w:val="28"/>
          <w:lang w:val="af-ZA"/>
        </w:rPr>
      </w:pPr>
      <w:r w:rsidRPr="00093D67">
        <w:rPr>
          <w:sz w:val="28"/>
          <w:szCs w:val="28"/>
          <w:lang w:val="af-ZA"/>
        </w:rPr>
        <w:t>3. Đối tượng, phạm vi nghiên cứu</w:t>
      </w:r>
    </w:p>
    <w:p w14:paraId="692A2991" w14:textId="77777777" w:rsidR="00ED176B" w:rsidRPr="00093D67" w:rsidRDefault="00ED176B" w:rsidP="00E05E21">
      <w:pPr>
        <w:pStyle w:val="NOR"/>
        <w:rPr>
          <w:b/>
          <w:bCs/>
          <w:i/>
          <w:iCs/>
          <w:sz w:val="28"/>
          <w:szCs w:val="28"/>
          <w:lang w:val="af-ZA"/>
        </w:rPr>
      </w:pPr>
      <w:r w:rsidRPr="00093D67">
        <w:rPr>
          <w:b/>
          <w:bCs/>
          <w:i/>
          <w:iCs/>
          <w:sz w:val="28"/>
          <w:szCs w:val="28"/>
          <w:lang w:val="af-ZA"/>
        </w:rPr>
        <w:t>3.1. Đối tượng nghiên cứu</w:t>
      </w:r>
    </w:p>
    <w:p w14:paraId="11898535" w14:textId="77777777" w:rsidR="00B96616" w:rsidRPr="00093D67" w:rsidRDefault="00B96616" w:rsidP="00E05E21">
      <w:pPr>
        <w:pStyle w:val="NOR"/>
        <w:rPr>
          <w:sz w:val="28"/>
          <w:szCs w:val="28"/>
          <w:lang w:val="af-ZA"/>
        </w:rPr>
      </w:pPr>
      <w:r w:rsidRPr="00093D67">
        <w:rPr>
          <w:sz w:val="28"/>
          <w:szCs w:val="28"/>
          <w:lang w:val="af-ZA"/>
        </w:rPr>
        <w:t>Trên cơ sở nghiên cứu các quan điểm khoa học về thẻ thanh toán, luận án tập trung nghiên cứu, phân tích các quy định pháp luật điều chỉnh hoạt động thanh toán thẻ của Việt Nam và một số nước trên thế giới, đặc biệt là các quốc gia phát triển, sử dụng thẻ nhiều trong các giao dịch như Hoa Kỳ, Canada… cũng như thực tiễn áp dụng các quy định này vào quá trình vận hành của nền kinh tế, với vai trò là một trong những chức năng của tiền tệ.</w:t>
      </w:r>
    </w:p>
    <w:p w14:paraId="63C7FA73" w14:textId="77777777" w:rsidR="00ED176B" w:rsidRPr="00093D67" w:rsidRDefault="00ED176B" w:rsidP="00E05E21">
      <w:pPr>
        <w:pStyle w:val="Style1"/>
        <w:rPr>
          <w:sz w:val="28"/>
          <w:szCs w:val="28"/>
          <w:lang w:val="af-ZA"/>
        </w:rPr>
      </w:pPr>
      <w:r w:rsidRPr="00093D67">
        <w:rPr>
          <w:sz w:val="28"/>
          <w:szCs w:val="28"/>
          <w:lang w:val="af-ZA"/>
        </w:rPr>
        <w:t>3.2. Phạm vi nghiên cứu</w:t>
      </w:r>
    </w:p>
    <w:p w14:paraId="09DFF076" w14:textId="77777777" w:rsidR="00B96616" w:rsidRPr="00093D67" w:rsidRDefault="00B96616" w:rsidP="00E05E21">
      <w:pPr>
        <w:pStyle w:val="NOR"/>
        <w:rPr>
          <w:sz w:val="28"/>
          <w:szCs w:val="28"/>
          <w:lang w:val="af-ZA"/>
        </w:rPr>
      </w:pPr>
      <w:r w:rsidRPr="00093D67">
        <w:rPr>
          <w:sz w:val="28"/>
          <w:szCs w:val="28"/>
          <w:lang w:val="af-ZA"/>
        </w:rPr>
        <w:t xml:space="preserve">Luận án tập trung nghiên cứu thẻ thanh toán, chủ yếu là các quy định của pháp luật Việt Nam điều chỉnh hoạt động phát hành, thanh toán và sử dụng thẻ thanh toán. Cụ thể, </w:t>
      </w:r>
      <w:r w:rsidRPr="00093D67">
        <w:rPr>
          <w:sz w:val="28"/>
          <w:szCs w:val="28"/>
          <w:lang w:val="af-ZA"/>
        </w:rPr>
        <w:lastRenderedPageBreak/>
        <w:t>luận án phân tích những vấn đề pháp lý liên quan phát hành, sử dụng thẻ, đặc biệt là thẻ tín dụng. Luận án của tác giả xác định không nghiên cứu sâu hoạt động liên quan đến khía cạnh kỹ thuật, nghiệp vụ về thanh toán thẻ.</w:t>
      </w:r>
    </w:p>
    <w:p w14:paraId="6F189ACF" w14:textId="77777777" w:rsidR="00B96616" w:rsidRPr="00093D67" w:rsidRDefault="00B96616" w:rsidP="00E05E21">
      <w:pPr>
        <w:pStyle w:val="NOR"/>
        <w:rPr>
          <w:sz w:val="28"/>
          <w:szCs w:val="28"/>
          <w:lang w:val="af-ZA"/>
        </w:rPr>
      </w:pPr>
      <w:r w:rsidRPr="00093D67">
        <w:rPr>
          <w:sz w:val="28"/>
          <w:szCs w:val="28"/>
          <w:lang w:val="af-ZA"/>
        </w:rPr>
        <w:t>Về không gian: Luận án tập trung nghiên cứu các quy định của pháp luật Việt Nam điều chỉnh hoạt động thẻ ngân hàng, trên cơ sở so sánh với các quy định của một số quốc gia trên thế giới.</w:t>
      </w:r>
    </w:p>
    <w:p w14:paraId="1DF7DD07" w14:textId="77777777" w:rsidR="00B96616" w:rsidRPr="00093D67" w:rsidRDefault="00B96616" w:rsidP="00E05E21">
      <w:pPr>
        <w:pStyle w:val="NOR"/>
        <w:rPr>
          <w:sz w:val="28"/>
          <w:szCs w:val="28"/>
          <w:lang w:val="vi-VN"/>
        </w:rPr>
      </w:pPr>
      <w:r w:rsidRPr="00093D67">
        <w:rPr>
          <w:sz w:val="28"/>
          <w:szCs w:val="28"/>
          <w:lang w:val="af-ZA"/>
        </w:rPr>
        <w:t>Về thời gian: Luận án nghiên cứu các quy định của pháp luật Việt Nam về thẻ thanh toán giai đoạn từ 1994 đến nay.</w:t>
      </w:r>
    </w:p>
    <w:p w14:paraId="48E729B0" w14:textId="77777777" w:rsidR="001951AF" w:rsidRPr="00093D67" w:rsidRDefault="008E51B1" w:rsidP="00E05E21">
      <w:pPr>
        <w:pStyle w:val="sub"/>
        <w:rPr>
          <w:sz w:val="28"/>
          <w:szCs w:val="28"/>
          <w:lang w:val="af-ZA"/>
        </w:rPr>
      </w:pPr>
      <w:r w:rsidRPr="00093D67">
        <w:rPr>
          <w:sz w:val="28"/>
          <w:szCs w:val="28"/>
          <w:lang w:val="af-ZA"/>
        </w:rPr>
        <w:t>4</w:t>
      </w:r>
      <w:r w:rsidR="00ED176B" w:rsidRPr="00093D67">
        <w:rPr>
          <w:sz w:val="28"/>
          <w:szCs w:val="28"/>
          <w:lang w:val="af-ZA"/>
        </w:rPr>
        <w:t xml:space="preserve">. </w:t>
      </w:r>
      <w:r w:rsidR="001951AF" w:rsidRPr="00093D67">
        <w:rPr>
          <w:sz w:val="28"/>
          <w:szCs w:val="28"/>
          <w:lang w:val="af-ZA"/>
        </w:rPr>
        <w:t>Phương pháp nghiên cứu</w:t>
      </w:r>
    </w:p>
    <w:p w14:paraId="67371E1A" w14:textId="77777777" w:rsidR="00E02EED" w:rsidRPr="00093D67" w:rsidRDefault="00E02EED" w:rsidP="00E05E21">
      <w:pPr>
        <w:pStyle w:val="NOR"/>
        <w:spacing w:line="348" w:lineRule="auto"/>
        <w:rPr>
          <w:sz w:val="28"/>
          <w:szCs w:val="28"/>
          <w:lang w:val="af-ZA"/>
        </w:rPr>
      </w:pPr>
      <w:r w:rsidRPr="00093D67">
        <w:rPr>
          <w:sz w:val="28"/>
          <w:szCs w:val="28"/>
          <w:lang w:val="af-ZA"/>
        </w:rPr>
        <w:t>Để thực hiện tốt đề tài và đạt được mục tiêu đặt ra, trong quá trình nghiên cứu, ngoài các phương pháp nghiên cứu cơ bản như phương pháp duy vật biện chứng, phương pháp suy luận logic, NCS còn sử dụng chủ yếu các phương pháp nghiên cứu đặc thù sau đây:</w:t>
      </w:r>
    </w:p>
    <w:p w14:paraId="488AAB21" w14:textId="77777777" w:rsidR="00E02EED" w:rsidRPr="00093D67" w:rsidRDefault="00E02EED" w:rsidP="00E05E21">
      <w:pPr>
        <w:pStyle w:val="NOR"/>
        <w:spacing w:line="348" w:lineRule="auto"/>
        <w:rPr>
          <w:sz w:val="28"/>
          <w:szCs w:val="28"/>
          <w:lang w:val="af-ZA"/>
        </w:rPr>
      </w:pPr>
      <w:r w:rsidRPr="00093D67">
        <w:rPr>
          <w:sz w:val="28"/>
          <w:szCs w:val="28"/>
          <w:lang w:val="af-ZA"/>
        </w:rPr>
        <w:t xml:space="preserve">Phương pháp nghiên cứu lý thuyết luật học (doctrial study research): đề tài sử dụng phương pháp này để phân tích các vấn đề lý luận cũng như pháp lý về thẻ ngân hàng, các quan hệ pháp luật trong thanh toán thẻ thanh toán… thông qua việc phân tích các cơ sở lý luận và các quy định pháp luật có liên quan đến thẻ thanh toán. Kết quả của việc nghiên cứu lý thuyết là cơ sở để giải quyết các vấn đề thực tế và cũng là nền tảng để đưa ra các giải pháp của luận án. </w:t>
      </w:r>
    </w:p>
    <w:p w14:paraId="0AD3E91C" w14:textId="77777777" w:rsidR="00E02EED" w:rsidRPr="00093D67" w:rsidRDefault="00E02EED" w:rsidP="00E05E21">
      <w:pPr>
        <w:pStyle w:val="NOR"/>
        <w:spacing w:line="348" w:lineRule="auto"/>
        <w:rPr>
          <w:sz w:val="28"/>
          <w:szCs w:val="28"/>
          <w:lang w:val="af-ZA"/>
        </w:rPr>
      </w:pPr>
      <w:r w:rsidRPr="00093D67">
        <w:rPr>
          <w:sz w:val="28"/>
          <w:szCs w:val="28"/>
          <w:lang w:val="af-ZA"/>
        </w:rPr>
        <w:t>Phương pháp nghiên cứu so sánh (comparative research): phương pháp này được sử dụng để làm rõ sự tương đồng và khác biệt giữa pháp luật các quốc gia và pháp luật quốc tế đối với các quy định liên quan đến các căn cứ phát hành thẻ tín dụng, các quy định về lãi suất…, là cơ sở đánh giá những thiếu sót của pháp luật hiện hành tại Việt Nam và kế thừa các giải pháp hoặc quy định hiệu quả hơn cho vấn đề pháp lý liên quan. Nghiên cứu lựa chọn một số các quốc gia có thực trạng sử dụng thẻ thanh toán một cách mạnh mẽ như Hoa Kỳ, Anh Quốc. Phương pháp này được vận dụng tập trung ở Chương 3 của luận án.</w:t>
      </w:r>
    </w:p>
    <w:p w14:paraId="7EA27BA9" w14:textId="77777777" w:rsidR="00E02EED" w:rsidRPr="00093D67" w:rsidRDefault="00E02EED" w:rsidP="00E05E21">
      <w:pPr>
        <w:pStyle w:val="NOR"/>
        <w:spacing w:line="348" w:lineRule="auto"/>
        <w:rPr>
          <w:sz w:val="28"/>
          <w:szCs w:val="28"/>
          <w:lang w:val="af-ZA"/>
        </w:rPr>
      </w:pPr>
      <w:r w:rsidRPr="00093D67">
        <w:rPr>
          <w:sz w:val="28"/>
          <w:szCs w:val="28"/>
          <w:lang w:val="af-ZA"/>
        </w:rPr>
        <w:t>Phương pháp nghiên cứu lịch sử (historical research): Phương pháp này được sử dụng để đánh giá tính hiệu quả của các quy định pháp luật liên quan đến thẻ thanh toán qua từng giai đoạn phát triển của thị trường. Từ đó nhận diện được vấn đề trong bối cảnh hiện đại, làm cơ sở đánh giá pháp luật hiện hành, và tìm các giải pháp pháp lý cho phù hợp với các vấn đề được đặt ra trong luận án.</w:t>
      </w:r>
    </w:p>
    <w:p w14:paraId="3A6EEDD8" w14:textId="77777777" w:rsidR="00E02EED" w:rsidRPr="00093D67" w:rsidRDefault="00E02EED" w:rsidP="00E05E21">
      <w:pPr>
        <w:pStyle w:val="NOR"/>
        <w:spacing w:line="348" w:lineRule="auto"/>
        <w:rPr>
          <w:sz w:val="28"/>
          <w:szCs w:val="28"/>
          <w:lang w:val="af-ZA"/>
        </w:rPr>
      </w:pPr>
      <w:r w:rsidRPr="00093D67">
        <w:rPr>
          <w:sz w:val="28"/>
          <w:szCs w:val="28"/>
          <w:lang w:val="af-ZA"/>
        </w:rPr>
        <w:t xml:space="preserve">Phương pháp tổng hợp: được sử dụng khi đánh giá nhằm rút ra những kết luận tổng </w:t>
      </w:r>
      <w:r w:rsidRPr="00093D67">
        <w:rPr>
          <w:sz w:val="28"/>
          <w:szCs w:val="28"/>
          <w:lang w:val="af-ZA"/>
        </w:rPr>
        <w:lastRenderedPageBreak/>
        <w:t>quan, những quan điểm, các đề xuất, kiến nghị về mặt lý luận và kinh nghiệm điều chỉnh pháp lý đối với hoạt động thẻ thanh toán. Phương pháp này được vận dụng xuyên suốt luận án.</w:t>
      </w:r>
    </w:p>
    <w:p w14:paraId="4CA73D3A" w14:textId="77777777" w:rsidR="00A04C71" w:rsidRPr="00093D67" w:rsidRDefault="008E51B1" w:rsidP="00E05E21">
      <w:pPr>
        <w:pStyle w:val="sub"/>
        <w:rPr>
          <w:sz w:val="28"/>
          <w:szCs w:val="28"/>
          <w:lang w:val="af-ZA"/>
        </w:rPr>
      </w:pPr>
      <w:r w:rsidRPr="00093D67">
        <w:rPr>
          <w:sz w:val="28"/>
          <w:szCs w:val="28"/>
          <w:lang w:val="af-ZA"/>
        </w:rPr>
        <w:t>5</w:t>
      </w:r>
      <w:r w:rsidR="00A04C71" w:rsidRPr="00093D67">
        <w:rPr>
          <w:sz w:val="28"/>
          <w:szCs w:val="28"/>
          <w:lang w:val="af-ZA"/>
        </w:rPr>
        <w:t>. Ý nghĩa lý luận và thực tiễn của luận án</w:t>
      </w:r>
    </w:p>
    <w:p w14:paraId="46E4B808" w14:textId="77777777" w:rsidR="009F75A8" w:rsidRPr="00093D67" w:rsidRDefault="009F75A8" w:rsidP="00E05E21">
      <w:pPr>
        <w:pStyle w:val="NOR"/>
        <w:rPr>
          <w:sz w:val="28"/>
          <w:szCs w:val="28"/>
          <w:lang w:val="af-ZA"/>
        </w:rPr>
      </w:pPr>
      <w:r w:rsidRPr="00093D67">
        <w:rPr>
          <w:sz w:val="28"/>
          <w:szCs w:val="28"/>
          <w:lang w:val="af-ZA"/>
        </w:rPr>
        <w:t>Qua tìm hiểu về tình hình nghiên cứu có liên quan đến đề tài pháp luật về hoạt động thẻ thanh toán mà nghiên cứu sinh tiếp cận được, xin đưa ra một số ý kiến đánh giá bước đầu như sau:</w:t>
      </w:r>
    </w:p>
    <w:p w14:paraId="4F74DC34" w14:textId="77777777" w:rsidR="009F75A8" w:rsidRPr="00093D67" w:rsidRDefault="009F75A8" w:rsidP="00E05E21">
      <w:pPr>
        <w:pStyle w:val="NOR"/>
        <w:rPr>
          <w:sz w:val="28"/>
          <w:szCs w:val="28"/>
          <w:lang w:val="af-ZA"/>
        </w:rPr>
      </w:pPr>
      <w:r w:rsidRPr="00093D67">
        <w:rPr>
          <w:sz w:val="28"/>
          <w:szCs w:val="28"/>
          <w:lang w:val="af-ZA"/>
        </w:rPr>
        <w:t>Thứ nhất, đóng góp về lý luận: luận án bàn luận các đặc trưng pháp lý của thẻ thanh toán, các quy định pháp luật của các quốc gia trong việc quản lý hoạt động thanh toán thẻ. Từ đó đóng góp thêm cơ sở lý luận cho các nghiên cứu pháp lý về thẻ thanh toán cũng như các phương thức thanh toán không dùng tiền mặt khác.</w:t>
      </w:r>
    </w:p>
    <w:p w14:paraId="513093CD" w14:textId="77777777" w:rsidR="009F75A8" w:rsidRPr="00093D67" w:rsidRDefault="009F75A8" w:rsidP="00E05E21">
      <w:pPr>
        <w:pStyle w:val="NOR"/>
        <w:spacing w:line="348" w:lineRule="auto"/>
        <w:rPr>
          <w:sz w:val="28"/>
          <w:szCs w:val="28"/>
          <w:lang w:val="af-ZA"/>
        </w:rPr>
      </w:pPr>
      <w:r w:rsidRPr="00093D67">
        <w:rPr>
          <w:sz w:val="28"/>
          <w:szCs w:val="28"/>
          <w:lang w:val="af-ZA"/>
        </w:rPr>
        <w:t>Thứ hai, đóng góp về thực tiễn: Đánh giá được thực trạng phát hành, sử dụng và thanh toán, quyết toán các giao dịch thẻ thanh toán của Việt Nam trong một khoảng thời gian liên tục từ 2007 đến 6/2023. Từ đó cho thấy xu hướng phát triển cũng như cần có những quy định điều chỉnh hoạt động thẻ thanh toán cho phù hợp. Phân tích được thực trạng các quy định của pháp luật Việt Nam về hoạt động thẻ thanh toán giai đoạn 2007 – 6/2023. Từ đó đánh giá các kết quả đạt được, hạn chế và nguyên nhân của những hạn chế trong các quy định về quản lý hoạt động thẻ thanh toán.</w:t>
      </w:r>
    </w:p>
    <w:p w14:paraId="4FA3024D" w14:textId="77777777" w:rsidR="009F75A8" w:rsidRPr="00093D67" w:rsidRDefault="009F75A8" w:rsidP="00E05E21">
      <w:pPr>
        <w:pStyle w:val="NOR"/>
        <w:spacing w:line="348" w:lineRule="auto"/>
        <w:rPr>
          <w:sz w:val="28"/>
          <w:szCs w:val="28"/>
          <w:lang w:val="af-ZA"/>
        </w:rPr>
      </w:pPr>
      <w:r w:rsidRPr="00093D67">
        <w:rPr>
          <w:sz w:val="28"/>
          <w:szCs w:val="28"/>
          <w:lang w:val="af-ZA"/>
        </w:rPr>
        <w:t>Một trong những hạn chế chủ yếu của pháp luật Việt Nam điều chỉnh hoạt động thẻ thanh toán đó là:</w:t>
      </w:r>
    </w:p>
    <w:p w14:paraId="3B9C3437" w14:textId="77777777" w:rsidR="009F75A8" w:rsidRPr="00093D67" w:rsidRDefault="009F75A8" w:rsidP="00E05E21">
      <w:pPr>
        <w:pStyle w:val="NOR"/>
        <w:spacing w:line="348" w:lineRule="auto"/>
        <w:rPr>
          <w:sz w:val="28"/>
          <w:szCs w:val="28"/>
          <w:lang w:val="af-ZA"/>
        </w:rPr>
      </w:pPr>
      <w:r w:rsidRPr="00093D67">
        <w:rPr>
          <w:sz w:val="28"/>
          <w:szCs w:val="28"/>
          <w:lang w:val="af-ZA"/>
        </w:rPr>
        <w:t>Một là, căn cứ phát hành thẻ, chủ yếu là thẻ tín dụng còn chưa cụ thể, đang còn là những quy định mang tính chất chung chung. Điều này dẫn đến mỗi ngân hàng có một tiêu chí riêng làm căn cứ phát hành hạn mức thẻ tín dụng cho khách hàng khác nhau. Trong một chừng mực nhất định, vì cuộc đua giành thị phần, căn cứ phát hành mang tính chủ quan của từng ngân hàng có thể dẫn tới rủi ro về mặt tín dụng cho cả ngân hàng phát hành và chủ thẻ.</w:t>
      </w:r>
    </w:p>
    <w:p w14:paraId="728BFF90" w14:textId="77777777" w:rsidR="009F75A8" w:rsidRPr="00093D67" w:rsidRDefault="009F75A8" w:rsidP="00E05E21">
      <w:pPr>
        <w:pStyle w:val="NOR"/>
        <w:spacing w:line="348" w:lineRule="auto"/>
        <w:rPr>
          <w:sz w:val="28"/>
          <w:szCs w:val="28"/>
          <w:lang w:val="af-ZA"/>
        </w:rPr>
      </w:pPr>
      <w:r w:rsidRPr="00093D67">
        <w:rPr>
          <w:sz w:val="28"/>
          <w:szCs w:val="28"/>
          <w:lang w:val="af-ZA"/>
        </w:rPr>
        <w:t>Hai là, quy định về lãi suất khi sử dụng thẻ tín dụng hiện nay đã rõ ràng. Tuy nhiên, cách tính lãi và thông tin cách tính lãi cho khách hàng của các ngân hàng còn quá nhiều mập mờ. Dẫn tới rủi ro cho khách hàng khi sử dụng thẻ tín dụng trong trường hợp phát sinh lãi suất.</w:t>
      </w:r>
    </w:p>
    <w:p w14:paraId="7FD8327E" w14:textId="77777777" w:rsidR="009F75A8" w:rsidRPr="00093D67" w:rsidRDefault="009F75A8" w:rsidP="00E05E21">
      <w:pPr>
        <w:pStyle w:val="NOR"/>
        <w:spacing w:line="348" w:lineRule="auto"/>
        <w:rPr>
          <w:spacing w:val="-2"/>
          <w:sz w:val="28"/>
          <w:szCs w:val="28"/>
          <w:lang w:val="af-ZA"/>
        </w:rPr>
      </w:pPr>
      <w:r w:rsidRPr="00093D67">
        <w:rPr>
          <w:spacing w:val="-2"/>
          <w:sz w:val="28"/>
          <w:szCs w:val="28"/>
          <w:lang w:val="af-ZA"/>
        </w:rPr>
        <w:t xml:space="preserve">Ba là, hoạt động quản lý Nhà nước về rút tiền mặt từ thẻ tín dụng tại các máy POS hiện nay chưa hiệu quả, các chế tài áp dụng cho hành vi vi phạm pháp luật này chưa nghiêm, thậm </w:t>
      </w:r>
      <w:r w:rsidRPr="00093D67">
        <w:rPr>
          <w:spacing w:val="-2"/>
          <w:sz w:val="28"/>
          <w:szCs w:val="28"/>
          <w:lang w:val="af-ZA"/>
        </w:rPr>
        <w:lastRenderedPageBreak/>
        <w:t>chí một số ngân hàng còn coi đây là một lợi thế của sản phẩm của mình, bất chấp bản chất của thanh toán thẻ.</w:t>
      </w:r>
    </w:p>
    <w:p w14:paraId="2415FD4B" w14:textId="77777777" w:rsidR="009F75A8" w:rsidRPr="00093D67" w:rsidRDefault="009F75A8" w:rsidP="00E05E21">
      <w:pPr>
        <w:pStyle w:val="NOR"/>
        <w:spacing w:line="348" w:lineRule="auto"/>
        <w:rPr>
          <w:sz w:val="28"/>
          <w:szCs w:val="28"/>
          <w:lang w:val="af-ZA"/>
        </w:rPr>
      </w:pPr>
      <w:r w:rsidRPr="00093D67">
        <w:rPr>
          <w:sz w:val="28"/>
          <w:szCs w:val="28"/>
          <w:lang w:val="af-ZA"/>
        </w:rPr>
        <w:t>Thứ ba, đóng góp mới về giải pháp:</w:t>
      </w:r>
    </w:p>
    <w:p w14:paraId="7AA2E0E9" w14:textId="77777777" w:rsidR="009F75A8" w:rsidRPr="00093D67" w:rsidRDefault="009F75A8" w:rsidP="00E05E21">
      <w:pPr>
        <w:pStyle w:val="NOR"/>
        <w:spacing w:line="348" w:lineRule="auto"/>
        <w:rPr>
          <w:sz w:val="28"/>
          <w:szCs w:val="28"/>
          <w:lang w:val="af-ZA"/>
        </w:rPr>
      </w:pPr>
      <w:r w:rsidRPr="00093D67">
        <w:rPr>
          <w:sz w:val="28"/>
          <w:szCs w:val="28"/>
          <w:lang w:val="af-ZA"/>
        </w:rPr>
        <w:t>Một là, xây dựng hệ thống chấm điểm tín dụng cá nhân hiệu quả, trên cơ sở tham khảo kinh nghiệm của các quốc gia phát triển, đặc biệt là các quốc gia đã trải qua khủng hoảng về thanh toán thẻ để tránh các sai lầm mà có thể dự đoán được.</w:t>
      </w:r>
    </w:p>
    <w:p w14:paraId="559B5376" w14:textId="77777777" w:rsidR="009F75A8" w:rsidRPr="00093D67" w:rsidRDefault="009F75A8" w:rsidP="00E05E21">
      <w:pPr>
        <w:pStyle w:val="NOR"/>
        <w:spacing w:line="348" w:lineRule="auto"/>
        <w:rPr>
          <w:sz w:val="28"/>
          <w:szCs w:val="28"/>
          <w:lang w:val="af-ZA"/>
        </w:rPr>
      </w:pPr>
      <w:r w:rsidRPr="00093D67">
        <w:rPr>
          <w:sz w:val="28"/>
          <w:szCs w:val="28"/>
          <w:lang w:val="af-ZA"/>
        </w:rPr>
        <w:t>Hai là, cần có những quy định rõ ràng về quy định cách tính lãi suất khi thanh toán thẻ tín dụng. Đồng thời ràng buộc trách nhiệm giải thích cho các khách hàng của các ngân hàng phát hành ngay khi ký hợp đồng phát hành thẻ.</w:t>
      </w:r>
    </w:p>
    <w:p w14:paraId="42DDC9C8" w14:textId="77777777" w:rsidR="009F75A8" w:rsidRPr="00093D67" w:rsidRDefault="009F75A8" w:rsidP="00E05E21">
      <w:pPr>
        <w:pStyle w:val="NOR"/>
        <w:spacing w:line="348" w:lineRule="auto"/>
        <w:rPr>
          <w:sz w:val="28"/>
          <w:szCs w:val="28"/>
          <w:lang w:val="af-ZA"/>
        </w:rPr>
      </w:pPr>
      <w:r w:rsidRPr="00093D67">
        <w:rPr>
          <w:sz w:val="28"/>
          <w:szCs w:val="28"/>
          <w:lang w:val="af-ZA"/>
        </w:rPr>
        <w:t>Ba là, cần có những chế tài đủ mạnh nhằm răn đe những hành vi vi phạm pháp luật trong hoạt động thẻ thanh toán. Đặc biệt là các chế tài trong việc rút tiền mặt từ thẻ tín dụng – một trong những hoạt động vi phạm nhưng đang hoạt động có thể coi như là công khai trong giai đoạn hiện nay. Ngoài ra, cần có những chế tài liên quan đến tội phạm thẻ khi mà trình độ công nghệ ngày càng cao thì tội phạm thẻ ngày càng tinh vi.</w:t>
      </w:r>
    </w:p>
    <w:p w14:paraId="5192D76B" w14:textId="77777777" w:rsidR="004B1218" w:rsidRPr="00093D67" w:rsidRDefault="004B1218" w:rsidP="00E05E21">
      <w:pPr>
        <w:pStyle w:val="sub"/>
        <w:rPr>
          <w:sz w:val="28"/>
          <w:szCs w:val="28"/>
          <w:lang w:val="af-ZA"/>
        </w:rPr>
      </w:pPr>
      <w:r w:rsidRPr="00093D67">
        <w:rPr>
          <w:sz w:val="28"/>
          <w:szCs w:val="28"/>
          <w:lang w:val="af-ZA"/>
        </w:rPr>
        <w:t>6. Kết cấu của luận án</w:t>
      </w:r>
    </w:p>
    <w:p w14:paraId="095F14F1" w14:textId="77777777" w:rsidR="004B1218" w:rsidRPr="00093D67" w:rsidRDefault="004B1218" w:rsidP="00E05E21">
      <w:pPr>
        <w:pStyle w:val="NOR"/>
        <w:spacing w:line="348" w:lineRule="auto"/>
        <w:rPr>
          <w:sz w:val="28"/>
          <w:szCs w:val="28"/>
          <w:lang w:val="af-ZA"/>
        </w:rPr>
      </w:pPr>
      <w:r w:rsidRPr="00093D67">
        <w:rPr>
          <w:sz w:val="28"/>
          <w:szCs w:val="28"/>
          <w:lang w:val="af-ZA"/>
        </w:rPr>
        <w:t>Ngoài phần mở đầu, kết luận và danh mục tài liệu tham khảo, luận án được kết cấu làm 3 chương như sau:</w:t>
      </w:r>
    </w:p>
    <w:p w14:paraId="1FB318B3" w14:textId="77777777" w:rsidR="004B1218" w:rsidRPr="00093D67" w:rsidRDefault="004B1218" w:rsidP="00E05E21">
      <w:pPr>
        <w:pStyle w:val="NOR"/>
        <w:spacing w:line="348" w:lineRule="auto"/>
        <w:rPr>
          <w:sz w:val="28"/>
          <w:szCs w:val="28"/>
          <w:lang w:val="af-ZA"/>
        </w:rPr>
      </w:pPr>
      <w:r w:rsidRPr="00093D67">
        <w:rPr>
          <w:sz w:val="28"/>
          <w:szCs w:val="28"/>
          <w:lang w:val="af-ZA"/>
        </w:rPr>
        <w:t>Chương 1. Tổng quan về tình hình nghiên cứu và cơ sở lý thuyết.</w:t>
      </w:r>
    </w:p>
    <w:p w14:paraId="34C758E1" w14:textId="77777777" w:rsidR="004B1218" w:rsidRPr="00093D67" w:rsidRDefault="004B1218" w:rsidP="00E05E21">
      <w:pPr>
        <w:pStyle w:val="NOR"/>
        <w:spacing w:line="348" w:lineRule="auto"/>
        <w:rPr>
          <w:sz w:val="28"/>
          <w:szCs w:val="28"/>
          <w:lang w:val="af-ZA"/>
        </w:rPr>
      </w:pPr>
      <w:r w:rsidRPr="00093D67">
        <w:rPr>
          <w:sz w:val="28"/>
          <w:szCs w:val="28"/>
          <w:lang w:val="af-ZA"/>
        </w:rPr>
        <w:t>Chương 2: Tổng quan về thẻ thanh toán và pháp luật về thẻ thanh toán.</w:t>
      </w:r>
    </w:p>
    <w:p w14:paraId="1AE0CC83" w14:textId="77777777" w:rsidR="00093D67" w:rsidRDefault="004B1218" w:rsidP="00093D67">
      <w:pPr>
        <w:pStyle w:val="NOR"/>
        <w:spacing w:line="348" w:lineRule="auto"/>
        <w:rPr>
          <w:sz w:val="28"/>
          <w:szCs w:val="28"/>
          <w:lang w:val="af-ZA"/>
        </w:rPr>
      </w:pPr>
      <w:r w:rsidRPr="00093D67">
        <w:rPr>
          <w:sz w:val="28"/>
          <w:szCs w:val="28"/>
          <w:lang w:val="af-ZA"/>
        </w:rPr>
        <w:t>Chương 3: Thực trạng pháp luật Việt Nam về thẻ thanh toán, thực tiễn thực hiện và kiến nghị hoàn thiện.</w:t>
      </w:r>
    </w:p>
    <w:p w14:paraId="277A76AD" w14:textId="24D1ACD9" w:rsidR="00185D79" w:rsidRPr="00093D67" w:rsidRDefault="00185D79" w:rsidP="00093D67">
      <w:pPr>
        <w:pStyle w:val="NOR"/>
        <w:spacing w:line="348" w:lineRule="auto"/>
        <w:ind w:firstLine="0"/>
        <w:rPr>
          <w:rFonts w:eastAsia="Times New Roman"/>
          <w:b/>
          <w:bCs/>
          <w:sz w:val="28"/>
          <w:szCs w:val="28"/>
        </w:rPr>
      </w:pPr>
      <w:r w:rsidRPr="00093D67">
        <w:rPr>
          <w:rFonts w:eastAsia="Times New Roman"/>
          <w:b/>
          <w:bCs/>
          <w:spacing w:val="-1"/>
          <w:w w:val="94"/>
          <w:sz w:val="28"/>
          <w:szCs w:val="28"/>
        </w:rPr>
        <w:t>C</w:t>
      </w:r>
      <w:r w:rsidRPr="00093D67">
        <w:rPr>
          <w:rFonts w:eastAsia="Times New Roman"/>
          <w:b/>
          <w:bCs/>
          <w:spacing w:val="1"/>
          <w:w w:val="94"/>
          <w:sz w:val="28"/>
          <w:szCs w:val="28"/>
        </w:rPr>
        <w:t>H</w:t>
      </w:r>
      <w:r w:rsidRPr="00093D67">
        <w:rPr>
          <w:rFonts w:eastAsia="Times New Roman"/>
          <w:b/>
          <w:bCs/>
          <w:w w:val="94"/>
          <w:sz w:val="28"/>
          <w:szCs w:val="28"/>
        </w:rPr>
        <w:t>ƯƠNG</w:t>
      </w:r>
      <w:r w:rsidRPr="00093D67">
        <w:rPr>
          <w:rFonts w:eastAsia="Times New Roman"/>
          <w:b/>
          <w:bCs/>
          <w:spacing w:val="6"/>
          <w:w w:val="94"/>
          <w:sz w:val="28"/>
          <w:szCs w:val="28"/>
        </w:rPr>
        <w:t xml:space="preserve"> </w:t>
      </w:r>
      <w:r w:rsidRPr="00093D67">
        <w:rPr>
          <w:rFonts w:eastAsia="Times New Roman"/>
          <w:b/>
          <w:bCs/>
          <w:sz w:val="28"/>
          <w:szCs w:val="28"/>
        </w:rPr>
        <w:t>1:</w:t>
      </w:r>
      <w:r w:rsidRPr="00093D67">
        <w:rPr>
          <w:rFonts w:eastAsia="Times New Roman"/>
          <w:b/>
          <w:bCs/>
          <w:spacing w:val="-1"/>
          <w:sz w:val="28"/>
          <w:szCs w:val="28"/>
        </w:rPr>
        <w:t xml:space="preserve"> </w:t>
      </w:r>
      <w:r w:rsidRPr="00093D67">
        <w:rPr>
          <w:rFonts w:eastAsia="Times New Roman"/>
          <w:b/>
          <w:bCs/>
          <w:sz w:val="28"/>
          <w:szCs w:val="28"/>
        </w:rPr>
        <w:t>T</w:t>
      </w:r>
      <w:r w:rsidRPr="00093D67">
        <w:rPr>
          <w:rFonts w:eastAsia="Times New Roman"/>
          <w:b/>
          <w:bCs/>
          <w:spacing w:val="1"/>
          <w:sz w:val="28"/>
          <w:szCs w:val="28"/>
        </w:rPr>
        <w:t>Ổ</w:t>
      </w:r>
      <w:r w:rsidRPr="00093D67">
        <w:rPr>
          <w:rFonts w:eastAsia="Times New Roman"/>
          <w:b/>
          <w:bCs/>
          <w:spacing w:val="-1"/>
          <w:sz w:val="28"/>
          <w:szCs w:val="28"/>
        </w:rPr>
        <w:t>N</w:t>
      </w:r>
      <w:r w:rsidRPr="00093D67">
        <w:rPr>
          <w:rFonts w:eastAsia="Times New Roman"/>
          <w:b/>
          <w:bCs/>
          <w:sz w:val="28"/>
          <w:szCs w:val="28"/>
        </w:rPr>
        <w:t>G</w:t>
      </w:r>
      <w:r w:rsidRPr="00093D67">
        <w:rPr>
          <w:rFonts w:eastAsia="Times New Roman"/>
          <w:b/>
          <w:bCs/>
          <w:spacing w:val="-1"/>
          <w:sz w:val="28"/>
          <w:szCs w:val="28"/>
        </w:rPr>
        <w:t xml:space="preserve"> </w:t>
      </w:r>
      <w:r w:rsidRPr="00093D67">
        <w:rPr>
          <w:rFonts w:eastAsia="Times New Roman"/>
          <w:b/>
          <w:bCs/>
          <w:spacing w:val="1"/>
          <w:sz w:val="28"/>
          <w:szCs w:val="28"/>
        </w:rPr>
        <w:t>Q</w:t>
      </w:r>
      <w:r w:rsidRPr="00093D67">
        <w:rPr>
          <w:rFonts w:eastAsia="Times New Roman"/>
          <w:b/>
          <w:bCs/>
          <w:spacing w:val="-3"/>
          <w:sz w:val="28"/>
          <w:szCs w:val="28"/>
        </w:rPr>
        <w:t>U</w:t>
      </w:r>
      <w:r w:rsidRPr="00093D67">
        <w:rPr>
          <w:rFonts w:eastAsia="Times New Roman"/>
          <w:b/>
          <w:bCs/>
          <w:spacing w:val="-1"/>
          <w:sz w:val="28"/>
          <w:szCs w:val="28"/>
        </w:rPr>
        <w:t>A</w:t>
      </w:r>
      <w:r w:rsidRPr="00093D67">
        <w:rPr>
          <w:rFonts w:eastAsia="Times New Roman"/>
          <w:b/>
          <w:bCs/>
          <w:sz w:val="28"/>
          <w:szCs w:val="28"/>
        </w:rPr>
        <w:t>N</w:t>
      </w:r>
      <w:r w:rsidRPr="00093D67">
        <w:rPr>
          <w:rFonts w:eastAsia="Times New Roman"/>
          <w:b/>
          <w:bCs/>
          <w:spacing w:val="-1"/>
          <w:sz w:val="28"/>
          <w:szCs w:val="28"/>
        </w:rPr>
        <w:t xml:space="preserve"> T</w:t>
      </w:r>
      <w:r w:rsidRPr="00093D67">
        <w:rPr>
          <w:rFonts w:eastAsia="Times New Roman"/>
          <w:b/>
          <w:bCs/>
          <w:sz w:val="28"/>
          <w:szCs w:val="28"/>
        </w:rPr>
        <w:t xml:space="preserve">ÌNH </w:t>
      </w:r>
      <w:r w:rsidRPr="00093D67">
        <w:rPr>
          <w:rFonts w:eastAsia="Times New Roman"/>
          <w:b/>
          <w:bCs/>
          <w:spacing w:val="1"/>
          <w:sz w:val="28"/>
          <w:szCs w:val="28"/>
        </w:rPr>
        <w:t>H</w:t>
      </w:r>
      <w:r w:rsidRPr="00093D67">
        <w:rPr>
          <w:rFonts w:eastAsia="Times New Roman"/>
          <w:b/>
          <w:bCs/>
          <w:sz w:val="28"/>
          <w:szCs w:val="28"/>
        </w:rPr>
        <w:t>Ì</w:t>
      </w:r>
      <w:r w:rsidRPr="00093D67">
        <w:rPr>
          <w:rFonts w:eastAsia="Times New Roman"/>
          <w:b/>
          <w:bCs/>
          <w:spacing w:val="-3"/>
          <w:sz w:val="28"/>
          <w:szCs w:val="28"/>
        </w:rPr>
        <w:t>N</w:t>
      </w:r>
      <w:r w:rsidRPr="00093D67">
        <w:rPr>
          <w:rFonts w:eastAsia="Times New Roman"/>
          <w:b/>
          <w:bCs/>
          <w:sz w:val="28"/>
          <w:szCs w:val="28"/>
        </w:rPr>
        <w:t>H</w:t>
      </w:r>
      <w:r w:rsidRPr="00093D67">
        <w:rPr>
          <w:rFonts w:eastAsia="Times New Roman"/>
          <w:b/>
          <w:bCs/>
          <w:spacing w:val="1"/>
          <w:sz w:val="28"/>
          <w:szCs w:val="28"/>
        </w:rPr>
        <w:t xml:space="preserve"> </w:t>
      </w:r>
      <w:r w:rsidRPr="00093D67">
        <w:rPr>
          <w:rFonts w:eastAsia="Times New Roman"/>
          <w:b/>
          <w:bCs/>
          <w:spacing w:val="-1"/>
          <w:sz w:val="28"/>
          <w:szCs w:val="28"/>
        </w:rPr>
        <w:t>NGH</w:t>
      </w:r>
      <w:r w:rsidRPr="00093D67">
        <w:rPr>
          <w:rFonts w:eastAsia="Times New Roman"/>
          <w:b/>
          <w:bCs/>
          <w:sz w:val="28"/>
          <w:szCs w:val="28"/>
        </w:rPr>
        <w:t>IÊN</w:t>
      </w:r>
      <w:r w:rsidRPr="00093D67">
        <w:rPr>
          <w:rFonts w:eastAsia="Times New Roman"/>
          <w:b/>
          <w:bCs/>
          <w:spacing w:val="-1"/>
          <w:sz w:val="28"/>
          <w:szCs w:val="28"/>
        </w:rPr>
        <w:t xml:space="preserve"> </w:t>
      </w:r>
      <w:r w:rsidRPr="00093D67">
        <w:rPr>
          <w:rFonts w:eastAsia="Times New Roman"/>
          <w:b/>
          <w:bCs/>
          <w:sz w:val="28"/>
          <w:szCs w:val="28"/>
        </w:rPr>
        <w:t>C</w:t>
      </w:r>
      <w:r w:rsidRPr="00093D67">
        <w:rPr>
          <w:rFonts w:eastAsia="Times New Roman"/>
          <w:b/>
          <w:bCs/>
          <w:spacing w:val="-1"/>
          <w:sz w:val="28"/>
          <w:szCs w:val="28"/>
        </w:rPr>
        <w:t>Ứ</w:t>
      </w:r>
      <w:r w:rsidRPr="00093D67">
        <w:rPr>
          <w:rFonts w:eastAsia="Times New Roman"/>
          <w:b/>
          <w:bCs/>
          <w:sz w:val="28"/>
          <w:szCs w:val="28"/>
        </w:rPr>
        <w:t>U</w:t>
      </w:r>
      <w:r w:rsidR="00924493" w:rsidRPr="00093D67">
        <w:rPr>
          <w:sz w:val="28"/>
          <w:szCs w:val="28"/>
        </w:rPr>
        <w:t xml:space="preserve"> </w:t>
      </w:r>
      <w:r w:rsidR="00924493" w:rsidRPr="00093D67">
        <w:rPr>
          <w:rFonts w:eastAsia="Times New Roman"/>
          <w:b/>
          <w:bCs/>
          <w:sz w:val="28"/>
          <w:szCs w:val="28"/>
        </w:rPr>
        <w:t>VÀ CƠ SỞ LÝ THUYẾT</w:t>
      </w:r>
    </w:p>
    <w:p w14:paraId="2027837F" w14:textId="77777777" w:rsidR="00E4313C" w:rsidRPr="00093D67" w:rsidRDefault="00E4313C" w:rsidP="00E05E21">
      <w:pPr>
        <w:pStyle w:val="Heading1"/>
        <w:rPr>
          <w:sz w:val="28"/>
          <w:szCs w:val="28"/>
        </w:rPr>
      </w:pPr>
      <w:r w:rsidRPr="00093D67">
        <w:rPr>
          <w:sz w:val="28"/>
          <w:szCs w:val="28"/>
        </w:rPr>
        <w:t xml:space="preserve">1.1. </w:t>
      </w:r>
      <w:r w:rsidR="00924493" w:rsidRPr="00093D67">
        <w:rPr>
          <w:sz w:val="28"/>
          <w:szCs w:val="28"/>
        </w:rPr>
        <w:t xml:space="preserve">Tổng quan tình </w:t>
      </w:r>
      <w:r w:rsidR="00A55490" w:rsidRPr="00093D67">
        <w:rPr>
          <w:sz w:val="28"/>
          <w:szCs w:val="28"/>
        </w:rPr>
        <w:t>hình nghiên cứu về thẻ thanh toán</w:t>
      </w:r>
    </w:p>
    <w:p w14:paraId="26EC5EE7" w14:textId="77777777" w:rsidR="00924493" w:rsidRPr="00093D67" w:rsidRDefault="00924493" w:rsidP="00E05E21">
      <w:pPr>
        <w:pStyle w:val="Heading2"/>
        <w:rPr>
          <w:rFonts w:eastAsia="Times New Roman" w:cs="Times New Roman"/>
          <w:b w:val="0"/>
          <w:sz w:val="28"/>
          <w:szCs w:val="28"/>
        </w:rPr>
      </w:pPr>
      <w:r w:rsidRPr="00093D67">
        <w:rPr>
          <w:rFonts w:eastAsia="Times New Roman" w:cs="Times New Roman"/>
          <w:sz w:val="28"/>
          <w:szCs w:val="28"/>
        </w:rPr>
        <w:t>1.1.1. Tình hình nghiên cứu trong nước</w:t>
      </w:r>
    </w:p>
    <w:p w14:paraId="55018D7F" w14:textId="77777777" w:rsidR="00A531AE" w:rsidRPr="00093D67" w:rsidRDefault="000614DE" w:rsidP="00E05E21">
      <w:pPr>
        <w:pStyle w:val="NOR"/>
        <w:rPr>
          <w:rFonts w:eastAsia="Times New Roman"/>
          <w:sz w:val="28"/>
          <w:szCs w:val="28"/>
        </w:rPr>
      </w:pPr>
      <w:r w:rsidRPr="00093D67">
        <w:rPr>
          <w:rFonts w:eastAsia="Times New Roman"/>
          <w:sz w:val="28"/>
          <w:szCs w:val="28"/>
        </w:rPr>
        <w:t>Ở phần này, tác giả trình bày các nghiên cứu được thực hiện bởi các nhà khoa học trong nước theo nhóm các nội dung cơ bản như các cuộc hội thảo liên quan tới thẻ thanh toán, các công trình nghiên cứu liên quan xu hướng phát triển của thanh toán bằng thẻ, các công trình nghiên cứ về thẻ thanh toán dưới góc độ pháp luật.</w:t>
      </w:r>
    </w:p>
    <w:p w14:paraId="379E2937" w14:textId="20F4CE54" w:rsidR="00924493" w:rsidRPr="00093D67" w:rsidRDefault="00924493" w:rsidP="00E05E21">
      <w:pPr>
        <w:pStyle w:val="Heading2"/>
        <w:rPr>
          <w:rFonts w:eastAsia="Times New Roman" w:cs="Times New Roman"/>
          <w:sz w:val="28"/>
          <w:szCs w:val="28"/>
        </w:rPr>
      </w:pPr>
      <w:r w:rsidRPr="00093D67">
        <w:rPr>
          <w:rFonts w:eastAsia="Times New Roman" w:cs="Times New Roman"/>
          <w:sz w:val="28"/>
          <w:szCs w:val="28"/>
        </w:rPr>
        <w:t>1.1.2. Tình hình nghiên cứu trên thế giới</w:t>
      </w:r>
    </w:p>
    <w:p w14:paraId="499FE1EC" w14:textId="77777777" w:rsidR="000614DE" w:rsidRPr="00093D67" w:rsidRDefault="00161A3D" w:rsidP="00E05E21">
      <w:pPr>
        <w:pStyle w:val="NOR"/>
        <w:rPr>
          <w:rFonts w:eastAsia="Times New Roman"/>
          <w:sz w:val="28"/>
          <w:szCs w:val="28"/>
        </w:rPr>
      </w:pPr>
      <w:r w:rsidRPr="00093D67">
        <w:rPr>
          <w:rFonts w:eastAsia="Times New Roman"/>
          <w:sz w:val="28"/>
          <w:szCs w:val="28"/>
        </w:rPr>
        <w:t xml:space="preserve">Nội dung này tác giả trình bày các nghiên cứu được thực hiện bởi các nhà khoa học trên thế giới theo nhóm các chủ đề như các nghiên cứu liên quan đến việc sử dụng thẻ thanh </w:t>
      </w:r>
      <w:r w:rsidRPr="00093D67">
        <w:rPr>
          <w:rFonts w:eastAsia="Times New Roman"/>
          <w:sz w:val="28"/>
          <w:szCs w:val="28"/>
        </w:rPr>
        <w:lastRenderedPageBreak/>
        <w:t>toán, các nghiên cứu liên quan đến yếu tố pháp lý về thẻ thanh toán, các nghiên cứu liên quan đến lãi suất thẻ tín dụng, nghiên cứu liên quan đến vấn đề công bố thông tin trong hợp đồng phát hành thẻ tín dụng và liên quan đến gian lận thẻ tín dụng và tội phạm thẻ.</w:t>
      </w:r>
    </w:p>
    <w:p w14:paraId="15AAE464" w14:textId="77777777" w:rsidR="00161A3D" w:rsidRPr="00093D67" w:rsidRDefault="00161A3D" w:rsidP="00E05E21">
      <w:pPr>
        <w:pStyle w:val="NOR"/>
        <w:rPr>
          <w:rFonts w:eastAsia="Times New Roman"/>
          <w:sz w:val="28"/>
          <w:szCs w:val="28"/>
        </w:rPr>
      </w:pPr>
      <w:r w:rsidRPr="00093D67">
        <w:rPr>
          <w:rFonts w:eastAsia="Times New Roman"/>
          <w:sz w:val="28"/>
          <w:szCs w:val="28"/>
        </w:rPr>
        <w:t>Sau phần trình bày các công trình nghiên cứu, tác giả đánh giá về các nghiên cứu đã có liên quan đến thẻ thanh toán, chỉ ra các hạn chế của các công trình nghiên cứu đã có để từ đó kế thừa cũng như đi sâu nghiên cứu khía cạnh còn bỏ ngỏ.</w:t>
      </w:r>
    </w:p>
    <w:p w14:paraId="58089902" w14:textId="71DB040D" w:rsidR="00AA305D" w:rsidRPr="00093D67" w:rsidRDefault="00AA305D" w:rsidP="00E05E21">
      <w:pPr>
        <w:pStyle w:val="Heading1"/>
        <w:rPr>
          <w:sz w:val="28"/>
          <w:szCs w:val="28"/>
        </w:rPr>
      </w:pPr>
      <w:r w:rsidRPr="00093D67">
        <w:rPr>
          <w:sz w:val="28"/>
          <w:szCs w:val="28"/>
        </w:rPr>
        <w:t>1.2. Điểm mới của luận án</w:t>
      </w:r>
    </w:p>
    <w:p w14:paraId="5CE2C2E8" w14:textId="77777777" w:rsidR="00161A3D" w:rsidRPr="00093D67" w:rsidRDefault="00161A3D" w:rsidP="00E05E21">
      <w:pPr>
        <w:pStyle w:val="NOR"/>
        <w:rPr>
          <w:rFonts w:eastAsia="Times New Roman"/>
          <w:sz w:val="28"/>
          <w:szCs w:val="28"/>
        </w:rPr>
      </w:pPr>
      <w:r w:rsidRPr="00093D67">
        <w:rPr>
          <w:rFonts w:eastAsia="Times New Roman"/>
          <w:sz w:val="28"/>
          <w:szCs w:val="28"/>
        </w:rPr>
        <w:t>So với các công trình nghiên cứu trước đó về pháp luật thẻ thanh toán của Việt Nam, Luận án có những điểm mới như sau:</w:t>
      </w:r>
    </w:p>
    <w:p w14:paraId="025C2EAE" w14:textId="77777777" w:rsidR="00161A3D" w:rsidRPr="00093D67" w:rsidRDefault="00161A3D" w:rsidP="00E05E21">
      <w:pPr>
        <w:pStyle w:val="NOR"/>
        <w:rPr>
          <w:rFonts w:eastAsia="Times New Roman"/>
          <w:b/>
          <w:sz w:val="28"/>
          <w:szCs w:val="28"/>
        </w:rPr>
      </w:pPr>
      <w:r w:rsidRPr="00093D67">
        <w:rPr>
          <w:rFonts w:eastAsia="Times New Roman"/>
          <w:b/>
          <w:sz w:val="28"/>
          <w:szCs w:val="28"/>
        </w:rPr>
        <w:t>Về cách tiếp cận:</w:t>
      </w:r>
    </w:p>
    <w:p w14:paraId="25776802" w14:textId="77777777" w:rsidR="00016E19" w:rsidRPr="00093D67" w:rsidRDefault="00161A3D" w:rsidP="00E05E21">
      <w:pPr>
        <w:pStyle w:val="NOR"/>
        <w:rPr>
          <w:rFonts w:eastAsia="Times New Roman"/>
          <w:sz w:val="28"/>
          <w:szCs w:val="28"/>
        </w:rPr>
      </w:pPr>
      <w:r w:rsidRPr="00093D67">
        <w:rPr>
          <w:rFonts w:eastAsia="Times New Roman"/>
          <w:sz w:val="28"/>
          <w:szCs w:val="28"/>
        </w:rPr>
        <w:t>Thứ nhất, Luận án tiếp cận vấn đề ng</w:t>
      </w:r>
      <w:r w:rsidR="00016E19" w:rsidRPr="00093D67">
        <w:rPr>
          <w:rFonts w:eastAsia="Times New Roman"/>
          <w:sz w:val="28"/>
          <w:szCs w:val="28"/>
        </w:rPr>
        <w:t>hiên cứu dưới giác độ hệ thống.</w:t>
      </w:r>
    </w:p>
    <w:p w14:paraId="70DDE14E" w14:textId="77777777" w:rsidR="00161A3D" w:rsidRPr="00093D67" w:rsidRDefault="00161A3D" w:rsidP="00E05E21">
      <w:pPr>
        <w:pStyle w:val="NOR"/>
        <w:rPr>
          <w:rFonts w:eastAsia="Times New Roman"/>
          <w:sz w:val="28"/>
          <w:szCs w:val="28"/>
        </w:rPr>
      </w:pPr>
      <w:r w:rsidRPr="00093D67">
        <w:rPr>
          <w:rFonts w:eastAsia="Times New Roman"/>
          <w:sz w:val="28"/>
          <w:szCs w:val="28"/>
        </w:rPr>
        <w:t xml:space="preserve">Thứ hai, Luận án tiếp cận theo hướng xem xét những chi phí và lợi ích kinh tế - xã hội của việc điều </w:t>
      </w:r>
      <w:r w:rsidR="00B50A96" w:rsidRPr="00093D67">
        <w:rPr>
          <w:rFonts w:eastAsia="Times New Roman"/>
          <w:sz w:val="28"/>
          <w:szCs w:val="28"/>
        </w:rPr>
        <w:t>chỉnh pháp luật thanh toán thẻ.</w:t>
      </w:r>
    </w:p>
    <w:p w14:paraId="0B19503F" w14:textId="77777777" w:rsidR="00161A3D" w:rsidRPr="00093D67" w:rsidRDefault="00161A3D" w:rsidP="00E05E21">
      <w:pPr>
        <w:pStyle w:val="NOR"/>
        <w:rPr>
          <w:rFonts w:eastAsia="Times New Roman"/>
          <w:sz w:val="28"/>
          <w:szCs w:val="28"/>
        </w:rPr>
      </w:pPr>
      <w:r w:rsidRPr="00093D67">
        <w:rPr>
          <w:rFonts w:eastAsia="Times New Roman"/>
          <w:b/>
          <w:sz w:val="28"/>
          <w:szCs w:val="28"/>
        </w:rPr>
        <w:t>Về nội dung đóng góp mới</w:t>
      </w:r>
      <w:r w:rsidRPr="00093D67">
        <w:rPr>
          <w:rFonts w:eastAsia="Times New Roman"/>
          <w:sz w:val="28"/>
          <w:szCs w:val="28"/>
        </w:rPr>
        <w:t>: Luận án đã đóng góp cho khoa học pháp lý Việt Nam những điểm mới sau:</w:t>
      </w:r>
    </w:p>
    <w:p w14:paraId="65282B5E" w14:textId="77777777" w:rsidR="00F03412" w:rsidRPr="00093D67" w:rsidRDefault="00161A3D" w:rsidP="00E05E21">
      <w:pPr>
        <w:pStyle w:val="NOR"/>
        <w:rPr>
          <w:rFonts w:eastAsia="Times New Roman"/>
          <w:sz w:val="28"/>
          <w:szCs w:val="28"/>
        </w:rPr>
      </w:pPr>
      <w:r w:rsidRPr="00093D67">
        <w:rPr>
          <w:rFonts w:eastAsia="Times New Roman"/>
          <w:i/>
          <w:sz w:val="28"/>
          <w:szCs w:val="28"/>
        </w:rPr>
        <w:t>Thứ nhất</w:t>
      </w:r>
      <w:r w:rsidRPr="00093D67">
        <w:rPr>
          <w:rFonts w:eastAsia="Times New Roman"/>
          <w:sz w:val="28"/>
          <w:szCs w:val="28"/>
        </w:rPr>
        <w:t xml:space="preserve">, bên cạnh việc làm sáng tỏ ý nghĩa của thuật ngữ thẻ thanh toán, mô hình đánh giá tín dụng cá nhân và các quy định pháp lý liên quan đến thẻ thanh toán, luận án này cung cấp thêm những lập luận khoa học về việc xây dựng và hoàn thiện hệ thống pháp luật về thẻ thanh toán tại Việt Nam. </w:t>
      </w:r>
    </w:p>
    <w:p w14:paraId="5114B4FA" w14:textId="77777777" w:rsidR="00F03412" w:rsidRPr="00093D67" w:rsidRDefault="00161A3D" w:rsidP="00E05E21">
      <w:pPr>
        <w:pStyle w:val="NOR"/>
        <w:rPr>
          <w:rFonts w:eastAsia="Times New Roman"/>
          <w:sz w:val="28"/>
          <w:szCs w:val="28"/>
        </w:rPr>
      </w:pPr>
      <w:r w:rsidRPr="00093D67">
        <w:rPr>
          <w:rFonts w:eastAsia="Times New Roman"/>
          <w:i/>
          <w:sz w:val="28"/>
          <w:szCs w:val="28"/>
        </w:rPr>
        <w:t>Thứ hai</w:t>
      </w:r>
      <w:r w:rsidRPr="00093D67">
        <w:rPr>
          <w:rFonts w:eastAsia="Times New Roman"/>
          <w:sz w:val="28"/>
          <w:szCs w:val="28"/>
        </w:rPr>
        <w:t xml:space="preserve">, thông qua việc phân tích và đánh giá cẩn thận các yếu tố ảnh hưởng, luận án đã xác định rõ nhu cầu thực tiễn và bản chất chính yếu của vấn đề cần được điều chỉnh trong pháp luật Việt Nam liên quan đến việc sử dụng thẻ thanh toán. </w:t>
      </w:r>
    </w:p>
    <w:p w14:paraId="226FB004" w14:textId="77777777" w:rsidR="002644AC" w:rsidRPr="00093D67" w:rsidRDefault="00F03412" w:rsidP="00E05E21">
      <w:pPr>
        <w:pStyle w:val="NOR"/>
        <w:rPr>
          <w:rFonts w:eastAsia="Times New Roman"/>
          <w:sz w:val="28"/>
          <w:szCs w:val="28"/>
        </w:rPr>
      </w:pPr>
      <w:r w:rsidRPr="00093D67">
        <w:rPr>
          <w:rFonts w:eastAsia="Times New Roman"/>
          <w:sz w:val="28"/>
          <w:szCs w:val="28"/>
        </w:rPr>
        <w:t>Thứ ba, b</w:t>
      </w:r>
      <w:r w:rsidR="00161A3D" w:rsidRPr="00093D67">
        <w:rPr>
          <w:rFonts w:eastAsia="Times New Roman"/>
          <w:sz w:val="28"/>
          <w:szCs w:val="28"/>
        </w:rPr>
        <w:t>ằng cách so sánh các quy định pháp luật về độ tuổi sở hữu thẻ thanh toán ở một số quốc gia phát triển, tác giả đã đề xuất việc điều chỉnh quy định này để nâng cao độ tuổi được phép sở hữu thẻ. Đề xuất này nhằm giúp cho luật pháp trở nên linh hoạt và áp dụng hiệu quả tro</w:t>
      </w:r>
      <w:r w:rsidR="002644AC" w:rsidRPr="00093D67">
        <w:rPr>
          <w:rFonts w:eastAsia="Times New Roman"/>
          <w:sz w:val="28"/>
          <w:szCs w:val="28"/>
        </w:rPr>
        <w:t>ng cuộc sống kinh tế hàng ngày.</w:t>
      </w:r>
    </w:p>
    <w:p w14:paraId="31C05116" w14:textId="77777777" w:rsidR="002644AC" w:rsidRPr="00093D67" w:rsidRDefault="00161A3D" w:rsidP="00E05E21">
      <w:pPr>
        <w:pStyle w:val="NOR"/>
        <w:rPr>
          <w:rFonts w:eastAsia="Times New Roman"/>
          <w:sz w:val="28"/>
          <w:szCs w:val="28"/>
        </w:rPr>
      </w:pPr>
      <w:r w:rsidRPr="00093D67">
        <w:rPr>
          <w:rFonts w:eastAsia="Times New Roman"/>
          <w:i/>
          <w:sz w:val="28"/>
          <w:szCs w:val="28"/>
        </w:rPr>
        <w:t>Thứ tư</w:t>
      </w:r>
      <w:r w:rsidRPr="00093D67">
        <w:rPr>
          <w:rFonts w:eastAsia="Times New Roman"/>
          <w:sz w:val="28"/>
          <w:szCs w:val="28"/>
        </w:rPr>
        <w:t>, liên quan đến các vấn đề trong hợp đồng phát hành thẻ, tác giả có một số khuyến nghị mang tính thực tế như tác giả khuyến nghị như phải đưa ra những nội dung cơ bản quan trọng, có tính chuyên môn sâu vào sự điều chỉnh chính quy; những tài liệu diễn ra trong quá trình tư vấn, cần phải được quy đị</w:t>
      </w:r>
      <w:r w:rsidR="002644AC" w:rsidRPr="00093D67">
        <w:rPr>
          <w:rFonts w:eastAsia="Times New Roman"/>
          <w:sz w:val="28"/>
          <w:szCs w:val="28"/>
        </w:rPr>
        <w:t>nh là yếu tố bắt buộc.</w:t>
      </w:r>
    </w:p>
    <w:p w14:paraId="39F38558" w14:textId="77777777" w:rsidR="002644AC" w:rsidRPr="00093D67" w:rsidRDefault="00161A3D" w:rsidP="00E05E21">
      <w:pPr>
        <w:pStyle w:val="NOR"/>
        <w:rPr>
          <w:rFonts w:eastAsia="Times New Roman"/>
          <w:sz w:val="28"/>
          <w:szCs w:val="28"/>
        </w:rPr>
      </w:pPr>
      <w:r w:rsidRPr="00093D67">
        <w:rPr>
          <w:rFonts w:eastAsia="Times New Roman"/>
          <w:i/>
          <w:sz w:val="28"/>
          <w:szCs w:val="28"/>
        </w:rPr>
        <w:t>Thứ năm</w:t>
      </w:r>
      <w:r w:rsidRPr="00093D67">
        <w:rPr>
          <w:rFonts w:eastAsia="Times New Roman"/>
          <w:sz w:val="28"/>
          <w:szCs w:val="28"/>
        </w:rPr>
        <w:t xml:space="preserve">, bằng cách xem xét, so sánh và đánh giá từng yếu tố ảnh hưởng đến hiệu quả </w:t>
      </w:r>
      <w:r w:rsidRPr="00093D67">
        <w:rPr>
          <w:rFonts w:eastAsia="Times New Roman"/>
          <w:sz w:val="28"/>
          <w:szCs w:val="28"/>
        </w:rPr>
        <w:lastRenderedPageBreak/>
        <w:t>của việc đánh giá điểm tín dụng cá nhân cũng như kinh nghiệm giải quyết của các quốc gia khác, luận án đề xuất một mô hình chấm điểm tín dụng cá nhân phù hợp với</w:t>
      </w:r>
      <w:r w:rsidR="002644AC" w:rsidRPr="00093D67">
        <w:rPr>
          <w:rFonts w:eastAsia="Times New Roman"/>
          <w:sz w:val="28"/>
          <w:szCs w:val="28"/>
        </w:rPr>
        <w:t xml:space="preserve"> hoàn cảnh cụ thể của Việt Nam.</w:t>
      </w:r>
    </w:p>
    <w:p w14:paraId="4E4F5E54" w14:textId="77777777" w:rsidR="00161A3D" w:rsidRPr="00093D67" w:rsidRDefault="00161A3D" w:rsidP="00E05E21">
      <w:pPr>
        <w:pStyle w:val="NOR"/>
        <w:rPr>
          <w:rFonts w:eastAsia="Times New Roman"/>
          <w:sz w:val="28"/>
          <w:szCs w:val="28"/>
        </w:rPr>
      </w:pPr>
      <w:r w:rsidRPr="00093D67">
        <w:rPr>
          <w:rFonts w:eastAsia="Times New Roman"/>
          <w:i/>
          <w:sz w:val="28"/>
          <w:szCs w:val="28"/>
        </w:rPr>
        <w:t>Thứ sáu</w:t>
      </w:r>
      <w:r w:rsidRPr="00093D67">
        <w:rPr>
          <w:rFonts w:eastAsia="Times New Roman"/>
          <w:sz w:val="28"/>
          <w:szCs w:val="28"/>
        </w:rPr>
        <w:t>, vấn đề rút tiền mặt và đáo hạn thẻ tín dụng trái quy định của pháp luật có thể nói là vấn đề nhức nhối mà các tổ chức phát hành thẻ đang phải đối mặt. Chính vì vậy, tác giả đề xuất chế tài cho hành vi vi phạm liên quan nội dung này thật sự là cần thiết và cấp bách nhầm tránh cho cả hệ thống ngân hàng rơi vào tình trạng nợ xấu tăng cao.</w:t>
      </w:r>
    </w:p>
    <w:p w14:paraId="55E2A2CB" w14:textId="77777777" w:rsidR="00161A3D" w:rsidRPr="00093D67" w:rsidRDefault="00161A3D" w:rsidP="00E05E21">
      <w:pPr>
        <w:pStyle w:val="NOR"/>
        <w:rPr>
          <w:rFonts w:eastAsia="Times New Roman"/>
          <w:sz w:val="28"/>
          <w:szCs w:val="28"/>
        </w:rPr>
      </w:pPr>
      <w:r w:rsidRPr="00093D67">
        <w:rPr>
          <w:rFonts w:eastAsia="Times New Roman"/>
          <w:i/>
          <w:sz w:val="28"/>
          <w:szCs w:val="28"/>
        </w:rPr>
        <w:t>Thứ bảy</w:t>
      </w:r>
      <w:r w:rsidRPr="00093D67">
        <w:rPr>
          <w:rFonts w:eastAsia="Times New Roman"/>
          <w:sz w:val="28"/>
          <w:szCs w:val="28"/>
        </w:rPr>
        <w:t>, một trong những điểm quan trọng nhất trong các quy định liên quan đến việc sử dụng thẻ thanh toán chính là vấn đề về lãi suất và phí khi sử dụng thẻ tín dụng. Hiện nay, luật pháp chỉ mới đề cập đến việc thông báo thay đổi các khoản phí trong một khoảng thời gian ngắn. Trong trường hợp lãi suất được điều chỉnh theo hướng không thuận lợi cho chủ thẻ, thì thời gian tối thiểu cần thiết để áp dụng mức lãi suất mới phải đủ cho chủ thẻ có đủ thời gian để quyết định liệu họ nên thanh toán toàn bộ số nợ và đóng thẻ, không sử dụng nữa, hay vẫn tiếp tục sử dụng và chấp nhận mức lãi suất mới. Đề xuất thời gian tối thiểu để áp dụng các thay đổi nên được tính theo chu kỳ sao kê và ít nhất phải là ngày sau ngày thanh toán cuối cùng để tránh việc bị tính lãi. Chỉ khi có những quy định như vậy, luật pháp mới có thể bảo vệ quyền lợi của người sử dụng thẻ, ngăn chặn các tổ chức phát hành thẻ thực hiện các thay đổi về phí và lãi suất một cách tùy tiện.</w:t>
      </w:r>
    </w:p>
    <w:p w14:paraId="728C1D42" w14:textId="77777777" w:rsidR="00E4313C" w:rsidRPr="00093D67" w:rsidRDefault="00E4313C" w:rsidP="00E05E21">
      <w:pPr>
        <w:pStyle w:val="Heading1"/>
        <w:rPr>
          <w:sz w:val="28"/>
          <w:szCs w:val="28"/>
        </w:rPr>
      </w:pPr>
      <w:r w:rsidRPr="00093D67">
        <w:rPr>
          <w:sz w:val="28"/>
          <w:szCs w:val="28"/>
        </w:rPr>
        <w:t xml:space="preserve">1.3. </w:t>
      </w:r>
      <w:r w:rsidR="00AA305D" w:rsidRPr="00093D67">
        <w:rPr>
          <w:sz w:val="28"/>
          <w:szCs w:val="28"/>
        </w:rPr>
        <w:t>Cơ sở lý thuyết nghiên cứu</w:t>
      </w:r>
    </w:p>
    <w:p w14:paraId="044B732D" w14:textId="77777777" w:rsidR="002644AC" w:rsidRPr="00093D67" w:rsidRDefault="00F4701E" w:rsidP="00E05E21">
      <w:pPr>
        <w:pStyle w:val="NOR"/>
        <w:rPr>
          <w:rFonts w:eastAsia="Times New Roman"/>
          <w:sz w:val="28"/>
          <w:szCs w:val="28"/>
        </w:rPr>
      </w:pPr>
      <w:r w:rsidRPr="00093D67">
        <w:rPr>
          <w:rFonts w:eastAsia="Times New Roman"/>
          <w:sz w:val="28"/>
          <w:szCs w:val="28"/>
        </w:rPr>
        <w:t xml:space="preserve">Nội dung này tác giả trình bày các lý thuyết nghiên cứu mà tác giả đã sử dụng </w:t>
      </w:r>
      <w:r w:rsidR="00857BBD" w:rsidRPr="00093D67">
        <w:rPr>
          <w:rFonts w:eastAsia="Times New Roman"/>
          <w:sz w:val="28"/>
          <w:szCs w:val="28"/>
        </w:rPr>
        <w:t>trong Luận án, cụ thể là lý thuyết về chi phí giao dịch, lý thuyết người ủy quyền – đại diện, lý thuyết thị trường hiệu quả, lý thuyết về thông tin bất cân xứng</w:t>
      </w:r>
      <w:r w:rsidR="008A6A96" w:rsidRPr="00093D67">
        <w:rPr>
          <w:rFonts w:eastAsia="Times New Roman"/>
          <w:sz w:val="28"/>
          <w:szCs w:val="28"/>
        </w:rPr>
        <w:t>.</w:t>
      </w:r>
    </w:p>
    <w:p w14:paraId="5D8E451C" w14:textId="77777777" w:rsidR="008A6A96" w:rsidRPr="00093D67" w:rsidRDefault="008A6A96" w:rsidP="00E05E21">
      <w:pPr>
        <w:pStyle w:val="Heading1"/>
        <w:rPr>
          <w:sz w:val="28"/>
          <w:szCs w:val="28"/>
        </w:rPr>
      </w:pPr>
      <w:r w:rsidRPr="00093D67">
        <w:rPr>
          <w:sz w:val="28"/>
          <w:szCs w:val="28"/>
        </w:rPr>
        <w:t>1.4. Câu hỏi nghiên cứu</w:t>
      </w:r>
    </w:p>
    <w:p w14:paraId="35FE331E" w14:textId="77777777" w:rsidR="008A6A96" w:rsidRPr="00093D67" w:rsidRDefault="008A6A96" w:rsidP="00E05E21">
      <w:pPr>
        <w:pStyle w:val="NOR"/>
        <w:rPr>
          <w:rFonts w:eastAsia="Times New Roman"/>
          <w:sz w:val="28"/>
          <w:szCs w:val="28"/>
        </w:rPr>
      </w:pPr>
      <w:r w:rsidRPr="00093D67">
        <w:rPr>
          <w:rFonts w:eastAsia="Times New Roman"/>
          <w:sz w:val="28"/>
          <w:szCs w:val="28"/>
        </w:rPr>
        <w:t>Tác giả nhận thấy rằng, cần thiết luận án phải đặt ra câu hỏi nghiên cứu chính để có thể thực hiện được mục tiêu nghiên cứu. Chính vì vậy, câu hỏi nghiên cứu tổng quát được tác giả xác định là “Pháp luật về hoạt động thẻ ngân hàng cần điều chỉnh như thế nào để đảm bảo quyền lợi của người sử dụng thẻ, để hoạt động thẻ góp phần quan trọng vào hiệu quả của hoạt động thanh toán không dùng tiền mặt của nền kinh tế”?</w:t>
      </w:r>
    </w:p>
    <w:p w14:paraId="73FBC79C" w14:textId="77777777" w:rsidR="008A6A96" w:rsidRPr="00093D67" w:rsidRDefault="008A6A96" w:rsidP="00E05E21">
      <w:pPr>
        <w:pStyle w:val="NOR"/>
        <w:rPr>
          <w:rFonts w:eastAsia="Times New Roman"/>
          <w:sz w:val="28"/>
          <w:szCs w:val="28"/>
        </w:rPr>
      </w:pPr>
      <w:r w:rsidRPr="00093D67">
        <w:rPr>
          <w:rFonts w:eastAsia="Times New Roman"/>
          <w:sz w:val="28"/>
          <w:szCs w:val="28"/>
        </w:rPr>
        <w:t xml:space="preserve">Để có thể trả lời câu hỏi nghiên cứu chính trên, tác giả phân loại nội dung trong phạm vi nghiên cứu và đặt ra ba câu hỏi nghiên cứu cụ thể để đưa ra các đáp án. Ba câu hỏi nghiên cứu này cũng chính là các nội dung lớn mà tác giả sẽ trình bày chi tiết trong luận án. </w:t>
      </w:r>
    </w:p>
    <w:p w14:paraId="1D2590FA" w14:textId="77777777" w:rsidR="008A6A96" w:rsidRPr="00093D67" w:rsidRDefault="008A6A96" w:rsidP="00E05E21">
      <w:pPr>
        <w:pStyle w:val="NOR"/>
        <w:rPr>
          <w:rFonts w:eastAsia="Times New Roman"/>
          <w:sz w:val="28"/>
          <w:szCs w:val="28"/>
        </w:rPr>
      </w:pPr>
      <w:r w:rsidRPr="00093D67">
        <w:rPr>
          <w:rFonts w:eastAsia="Times New Roman"/>
          <w:sz w:val="28"/>
          <w:szCs w:val="28"/>
        </w:rPr>
        <w:lastRenderedPageBreak/>
        <w:t>Từ câu hỏi nghiên cứu tổng quát, luận án có các câu hỏi nghiên cứu như sau:</w:t>
      </w:r>
    </w:p>
    <w:p w14:paraId="4537907A" w14:textId="77777777" w:rsidR="008A6A96" w:rsidRPr="00093D67" w:rsidRDefault="008A6A96" w:rsidP="00E05E21">
      <w:pPr>
        <w:pStyle w:val="NOR"/>
        <w:rPr>
          <w:rFonts w:eastAsia="Times New Roman"/>
          <w:spacing w:val="-6"/>
          <w:sz w:val="28"/>
          <w:szCs w:val="28"/>
        </w:rPr>
      </w:pPr>
      <w:r w:rsidRPr="00093D67">
        <w:rPr>
          <w:rFonts w:eastAsia="Times New Roman"/>
          <w:spacing w:val="-6"/>
          <w:sz w:val="28"/>
          <w:szCs w:val="28"/>
        </w:rPr>
        <w:t>(1) Cơ sở lý luận về thẻ thanh toán và pháp luật Việt Nam quy định về thẻ thanh toán như thế nào?</w:t>
      </w:r>
    </w:p>
    <w:p w14:paraId="7FAE60FF" w14:textId="77777777" w:rsidR="008A6A96" w:rsidRPr="00093D67" w:rsidRDefault="008A6A96" w:rsidP="00E05E21">
      <w:pPr>
        <w:pStyle w:val="NOR"/>
        <w:rPr>
          <w:rFonts w:eastAsia="Times New Roman"/>
          <w:sz w:val="28"/>
          <w:szCs w:val="28"/>
        </w:rPr>
      </w:pPr>
      <w:r w:rsidRPr="00093D67">
        <w:rPr>
          <w:rFonts w:eastAsia="Times New Roman"/>
          <w:sz w:val="28"/>
          <w:szCs w:val="28"/>
        </w:rPr>
        <w:t xml:space="preserve">(2) </w:t>
      </w:r>
      <w:r w:rsidR="00CB4D66" w:rsidRPr="00093D67">
        <w:rPr>
          <w:rFonts w:eastAsia="Times New Roman"/>
          <w:sz w:val="28"/>
          <w:szCs w:val="28"/>
        </w:rPr>
        <w:t>Cần có những giải pháp gì để hoàn thiện pháp luật điều chỉnh hoạt động phát hành thẻ để hạn chế các rủi ro giả mạo, rủi ro tín dụng cho đến rủi ro về mặt kỹ thuật, thậm chí là rủi ro về mặt đạo đức?</w:t>
      </w:r>
    </w:p>
    <w:p w14:paraId="5FCC1E2E" w14:textId="77777777" w:rsidR="00CB4D66" w:rsidRPr="00093D67" w:rsidRDefault="008A6A96" w:rsidP="00E05E21">
      <w:pPr>
        <w:pStyle w:val="NOR"/>
        <w:rPr>
          <w:rFonts w:eastAsia="Times New Roman"/>
          <w:sz w:val="28"/>
          <w:szCs w:val="28"/>
        </w:rPr>
      </w:pPr>
      <w:r w:rsidRPr="00093D67">
        <w:rPr>
          <w:rFonts w:eastAsia="Times New Roman"/>
          <w:sz w:val="28"/>
          <w:szCs w:val="28"/>
        </w:rPr>
        <w:t xml:space="preserve">(3) </w:t>
      </w:r>
      <w:r w:rsidR="00CB4D66" w:rsidRPr="00093D67">
        <w:rPr>
          <w:rFonts w:eastAsia="Times New Roman"/>
          <w:sz w:val="28"/>
          <w:szCs w:val="28"/>
        </w:rPr>
        <w:t>Để bảo vệ quyền lợi của người sử dụng thẻ, pháp luật điều chỉnh hoạt động sử dụng thẻ ngân hàng cần phải có những quy định đặc trưng nào?</w:t>
      </w:r>
    </w:p>
    <w:p w14:paraId="34AEBB2E" w14:textId="4FBCB722" w:rsidR="004C2A94" w:rsidRPr="00093D67" w:rsidRDefault="00236FC8" w:rsidP="00CB4D66">
      <w:pPr>
        <w:spacing w:after="0" w:line="360" w:lineRule="auto"/>
        <w:ind w:firstLine="709"/>
        <w:jc w:val="both"/>
        <w:rPr>
          <w:rFonts w:ascii="Times New Roman" w:eastAsia="Times New Roman" w:hAnsi="Times New Roman" w:cs="Times New Roman"/>
          <w:sz w:val="28"/>
          <w:szCs w:val="28"/>
        </w:rPr>
      </w:pPr>
      <w:r w:rsidRPr="00093D67">
        <w:rPr>
          <w:rFonts w:ascii="Times New Roman" w:eastAsia="Times New Roman" w:hAnsi="Times New Roman" w:cs="Times New Roman"/>
          <w:b/>
          <w:bCs/>
          <w:spacing w:val="-1"/>
          <w:sz w:val="28"/>
          <w:szCs w:val="28"/>
        </w:rPr>
        <w:tab/>
      </w:r>
      <w:r w:rsidRPr="00093D67">
        <w:rPr>
          <w:rFonts w:ascii="Times New Roman" w:eastAsia="Times New Roman" w:hAnsi="Times New Roman" w:cs="Times New Roman"/>
          <w:b/>
          <w:bCs/>
          <w:spacing w:val="-1"/>
          <w:sz w:val="28"/>
          <w:szCs w:val="28"/>
        </w:rPr>
        <w:tab/>
      </w:r>
      <w:r w:rsidRPr="00093D67">
        <w:rPr>
          <w:rFonts w:ascii="Times New Roman" w:eastAsia="Times New Roman" w:hAnsi="Times New Roman" w:cs="Times New Roman"/>
          <w:b/>
          <w:bCs/>
          <w:spacing w:val="-1"/>
          <w:sz w:val="28"/>
          <w:szCs w:val="28"/>
        </w:rPr>
        <w:tab/>
      </w:r>
      <w:r w:rsidRPr="00093D67">
        <w:rPr>
          <w:rFonts w:ascii="Times New Roman" w:eastAsia="Times New Roman" w:hAnsi="Times New Roman" w:cs="Times New Roman"/>
          <w:b/>
          <w:bCs/>
          <w:spacing w:val="-1"/>
          <w:sz w:val="28"/>
          <w:szCs w:val="28"/>
        </w:rPr>
        <w:tab/>
      </w:r>
      <w:r w:rsidRPr="00093D67">
        <w:rPr>
          <w:rFonts w:ascii="Times New Roman" w:eastAsia="Times New Roman" w:hAnsi="Times New Roman" w:cs="Times New Roman"/>
          <w:b/>
          <w:bCs/>
          <w:spacing w:val="-1"/>
          <w:sz w:val="28"/>
          <w:szCs w:val="28"/>
        </w:rPr>
        <w:tab/>
      </w:r>
      <w:r w:rsidR="00093D67">
        <w:rPr>
          <w:rFonts w:ascii="Times New Roman" w:eastAsia="Times New Roman" w:hAnsi="Times New Roman" w:cs="Times New Roman"/>
          <w:b/>
          <w:bCs/>
          <w:spacing w:val="-1"/>
          <w:sz w:val="28"/>
          <w:szCs w:val="28"/>
        </w:rPr>
        <w:t xml:space="preserve">  </w:t>
      </w:r>
      <w:r w:rsidR="004C2A94" w:rsidRPr="00093D67">
        <w:rPr>
          <w:rFonts w:ascii="Times New Roman" w:eastAsia="Times New Roman" w:hAnsi="Times New Roman" w:cs="Times New Roman"/>
          <w:b/>
          <w:bCs/>
          <w:spacing w:val="-1"/>
          <w:sz w:val="28"/>
          <w:szCs w:val="28"/>
        </w:rPr>
        <w:t>T</w:t>
      </w:r>
      <w:r w:rsidR="004C2A94" w:rsidRPr="00093D67">
        <w:rPr>
          <w:rFonts w:ascii="Times New Roman" w:eastAsia="Times New Roman" w:hAnsi="Times New Roman" w:cs="Times New Roman"/>
          <w:b/>
          <w:bCs/>
          <w:sz w:val="28"/>
          <w:szCs w:val="28"/>
        </w:rPr>
        <w:t>óm</w:t>
      </w:r>
      <w:r w:rsidR="004C2A94" w:rsidRPr="00093D67">
        <w:rPr>
          <w:rFonts w:ascii="Times New Roman" w:eastAsia="Times New Roman" w:hAnsi="Times New Roman" w:cs="Times New Roman"/>
          <w:b/>
          <w:bCs/>
          <w:spacing w:val="1"/>
          <w:sz w:val="28"/>
          <w:szCs w:val="28"/>
        </w:rPr>
        <w:t xml:space="preserve"> </w:t>
      </w:r>
      <w:r w:rsidR="004C2A94" w:rsidRPr="00093D67">
        <w:rPr>
          <w:rFonts w:ascii="Times New Roman" w:eastAsia="Times New Roman" w:hAnsi="Times New Roman" w:cs="Times New Roman"/>
          <w:b/>
          <w:bCs/>
          <w:spacing w:val="2"/>
          <w:sz w:val="28"/>
          <w:szCs w:val="28"/>
        </w:rPr>
        <w:t>t</w:t>
      </w:r>
      <w:r w:rsidR="004C2A94" w:rsidRPr="00093D67">
        <w:rPr>
          <w:rFonts w:ascii="Times New Roman" w:eastAsia="Times New Roman" w:hAnsi="Times New Roman" w:cs="Times New Roman"/>
          <w:b/>
          <w:bCs/>
          <w:spacing w:val="-2"/>
          <w:sz w:val="28"/>
          <w:szCs w:val="28"/>
        </w:rPr>
        <w:t>ắ</w:t>
      </w:r>
      <w:r w:rsidR="004C2A94" w:rsidRPr="00093D67">
        <w:rPr>
          <w:rFonts w:ascii="Times New Roman" w:eastAsia="Times New Roman" w:hAnsi="Times New Roman" w:cs="Times New Roman"/>
          <w:b/>
          <w:bCs/>
          <w:sz w:val="28"/>
          <w:szCs w:val="28"/>
        </w:rPr>
        <w:t>t</w:t>
      </w:r>
      <w:r w:rsidR="004C2A94" w:rsidRPr="00093D67">
        <w:rPr>
          <w:rFonts w:ascii="Times New Roman" w:eastAsia="Times New Roman" w:hAnsi="Times New Roman" w:cs="Times New Roman"/>
          <w:b/>
          <w:bCs/>
          <w:spacing w:val="1"/>
          <w:sz w:val="28"/>
          <w:szCs w:val="28"/>
        </w:rPr>
        <w:t xml:space="preserve"> </w:t>
      </w:r>
      <w:r w:rsidR="004C2A94" w:rsidRPr="00093D67">
        <w:rPr>
          <w:rFonts w:ascii="Times New Roman" w:eastAsia="Times New Roman" w:hAnsi="Times New Roman" w:cs="Times New Roman"/>
          <w:b/>
          <w:bCs/>
          <w:w w:val="94"/>
          <w:sz w:val="28"/>
          <w:szCs w:val="28"/>
        </w:rPr>
        <w:t>chươ</w:t>
      </w:r>
      <w:r w:rsidR="004C2A94" w:rsidRPr="00093D67">
        <w:rPr>
          <w:rFonts w:ascii="Times New Roman" w:eastAsia="Times New Roman" w:hAnsi="Times New Roman" w:cs="Times New Roman"/>
          <w:b/>
          <w:bCs/>
          <w:spacing w:val="-3"/>
          <w:w w:val="94"/>
          <w:sz w:val="28"/>
          <w:szCs w:val="28"/>
        </w:rPr>
        <w:t>n</w:t>
      </w:r>
      <w:r w:rsidR="004C2A94" w:rsidRPr="00093D67">
        <w:rPr>
          <w:rFonts w:ascii="Times New Roman" w:eastAsia="Times New Roman" w:hAnsi="Times New Roman" w:cs="Times New Roman"/>
          <w:b/>
          <w:bCs/>
          <w:w w:val="94"/>
          <w:sz w:val="28"/>
          <w:szCs w:val="28"/>
        </w:rPr>
        <w:t>g</w:t>
      </w:r>
      <w:r w:rsidR="004C2A94" w:rsidRPr="00093D67">
        <w:rPr>
          <w:rFonts w:ascii="Times New Roman" w:eastAsia="Times New Roman" w:hAnsi="Times New Roman" w:cs="Times New Roman"/>
          <w:b/>
          <w:bCs/>
          <w:spacing w:val="10"/>
          <w:w w:val="94"/>
          <w:sz w:val="28"/>
          <w:szCs w:val="28"/>
        </w:rPr>
        <w:t xml:space="preserve"> </w:t>
      </w:r>
      <w:r w:rsidR="004C2A94" w:rsidRPr="00093D67">
        <w:rPr>
          <w:rFonts w:ascii="Times New Roman" w:eastAsia="Times New Roman" w:hAnsi="Times New Roman" w:cs="Times New Roman"/>
          <w:b/>
          <w:bCs/>
          <w:sz w:val="28"/>
          <w:szCs w:val="28"/>
        </w:rPr>
        <w:t>1</w:t>
      </w:r>
    </w:p>
    <w:p w14:paraId="064B4B0B" w14:textId="77777777" w:rsidR="00093D67" w:rsidRDefault="00207877" w:rsidP="00093D67">
      <w:pPr>
        <w:pStyle w:val="NOR"/>
        <w:rPr>
          <w:rFonts w:eastAsia="Times New Roman"/>
          <w:sz w:val="28"/>
          <w:szCs w:val="28"/>
        </w:rPr>
      </w:pPr>
      <w:bookmarkStart w:id="0" w:name="_Toc50975884"/>
      <w:bookmarkStart w:id="1" w:name="_Toc50977307"/>
      <w:bookmarkStart w:id="2" w:name="_Toc51050527"/>
      <w:bookmarkStart w:id="3" w:name="_Toc54882624"/>
      <w:r w:rsidRPr="00093D67">
        <w:rPr>
          <w:rFonts w:eastAsia="Times New Roman"/>
          <w:sz w:val="28"/>
          <w:szCs w:val="28"/>
        </w:rPr>
        <w:t>Tóm lại, ở chương 1 tác giả trình bày tổng quan tình hình nghiên cứu, cả trong nước và nước ngoài liên quan đến đề tài nghiên cứu, nghĩa là các nghiên cứu xung quanh vấn đề thanh toán bằng thẻ. Trên cơ sở các nghiên cứu này, tác giả nhận thấy được khoảng trống về pháp luật liên quan đến thẻ thanh toán, hầu như chưa có chuyên gia nào khai thác. Nghĩa là, các nghiên cứu hiện tại chủ yếu chỉ được thực hiện ở khía cạnh kinh tế, đặc biệt là các nghiên cứu liên quan đến sự phát triển và ứng dụng thẻ thanh toán vào các hoạt động kinh tế, giúp cho các hoạt động kinh tế diễn ra trơn tru và hiệu quả hơn. Hoặc, nếu có các nghiên cứu liên quan đến yếu tố quản lý Nhà nước, thì phạm vi nghiên cứu lại quá rộng, bao trùm lên tất cả các phương thức thanh toán không dùng tiền mặt, chứ không riêng thẻ thanh toán. Chính vì vậy, để giải quyết được câu hỏi nghiên cứu do tác giả đặt ra, dựa trên các lý thuyết tác giả đề cập, tác giả làm tiền đề tiến hành phân tích các nội dung liên quan đến thẻ thanh toán, từ đó thấy được các điểm mới của luận án, kể cả về nội hàm của thẻ thanh toán cũng như điều chỉnh của pháp luật đối với thẻ thanh toán.</w:t>
      </w:r>
      <w:bookmarkEnd w:id="0"/>
      <w:bookmarkEnd w:id="1"/>
      <w:bookmarkEnd w:id="2"/>
      <w:bookmarkEnd w:id="3"/>
    </w:p>
    <w:p w14:paraId="3FB3C390" w14:textId="372E4CF6" w:rsidR="002E6988" w:rsidRPr="00093D67" w:rsidRDefault="002E6988" w:rsidP="00093D67">
      <w:pPr>
        <w:pStyle w:val="NOR"/>
        <w:rPr>
          <w:b/>
          <w:sz w:val="28"/>
          <w:szCs w:val="28"/>
        </w:rPr>
      </w:pPr>
      <w:r w:rsidRPr="00093D67">
        <w:rPr>
          <w:b/>
          <w:sz w:val="28"/>
          <w:szCs w:val="28"/>
        </w:rPr>
        <w:t xml:space="preserve">CHƯƠNG 2: </w:t>
      </w:r>
      <w:r w:rsidR="007D5A8B" w:rsidRPr="00093D67">
        <w:rPr>
          <w:b/>
          <w:sz w:val="28"/>
          <w:szCs w:val="28"/>
        </w:rPr>
        <w:t>TỔNG QUAN VỀ THẺ</w:t>
      </w:r>
      <w:r w:rsidR="00217DCB" w:rsidRPr="00093D67">
        <w:rPr>
          <w:b/>
          <w:sz w:val="28"/>
          <w:szCs w:val="28"/>
        </w:rPr>
        <w:t xml:space="preserve"> THANH TOÁN</w:t>
      </w:r>
      <w:r w:rsidR="007D5A8B" w:rsidRPr="00093D67">
        <w:rPr>
          <w:b/>
          <w:sz w:val="28"/>
          <w:szCs w:val="28"/>
        </w:rPr>
        <w:t xml:space="preserve"> VÀ PHÁP LUẬT </w:t>
      </w:r>
      <w:r w:rsidR="00E05E21" w:rsidRPr="00093D67">
        <w:rPr>
          <w:b/>
          <w:sz w:val="28"/>
          <w:szCs w:val="28"/>
          <w:lang w:val="vi-VN"/>
        </w:rPr>
        <w:br/>
      </w:r>
      <w:r w:rsidR="007D5A8B" w:rsidRPr="00093D67">
        <w:rPr>
          <w:b/>
          <w:sz w:val="28"/>
          <w:szCs w:val="28"/>
        </w:rPr>
        <w:t xml:space="preserve">VỀ THẺ </w:t>
      </w:r>
      <w:r w:rsidR="00217DCB" w:rsidRPr="00093D67">
        <w:rPr>
          <w:b/>
          <w:sz w:val="28"/>
          <w:szCs w:val="28"/>
        </w:rPr>
        <w:t>THANH TOÁN</w:t>
      </w:r>
    </w:p>
    <w:p w14:paraId="6E623796" w14:textId="59C9A5AF" w:rsidR="00675878" w:rsidRPr="00093D67" w:rsidRDefault="00675878" w:rsidP="00E05E21">
      <w:pPr>
        <w:pStyle w:val="Heading1"/>
        <w:rPr>
          <w:sz w:val="28"/>
          <w:szCs w:val="28"/>
        </w:rPr>
      </w:pPr>
      <w:r w:rsidRPr="00093D67">
        <w:rPr>
          <w:sz w:val="28"/>
          <w:szCs w:val="28"/>
        </w:rPr>
        <w:t>2.1. Lý luận về thẻ thanh toán</w:t>
      </w:r>
    </w:p>
    <w:p w14:paraId="48FB723F" w14:textId="463542A6" w:rsidR="00675878" w:rsidRPr="00093D67" w:rsidRDefault="00675878" w:rsidP="00E05E21">
      <w:pPr>
        <w:pStyle w:val="Heading2"/>
        <w:rPr>
          <w:rFonts w:cs="Times New Roman"/>
          <w:sz w:val="28"/>
          <w:szCs w:val="28"/>
        </w:rPr>
      </w:pPr>
      <w:r w:rsidRPr="00093D67">
        <w:rPr>
          <w:rFonts w:cs="Times New Roman"/>
          <w:sz w:val="28"/>
          <w:szCs w:val="28"/>
        </w:rPr>
        <w:t>2.1.1.</w:t>
      </w:r>
      <w:r w:rsidR="00E05E21" w:rsidRPr="00093D67">
        <w:rPr>
          <w:rFonts w:cs="Times New Roman"/>
          <w:sz w:val="28"/>
          <w:szCs w:val="28"/>
          <w:lang w:val="vi-VN"/>
        </w:rPr>
        <w:t xml:space="preserve"> </w:t>
      </w:r>
      <w:r w:rsidRPr="00093D67">
        <w:rPr>
          <w:rFonts w:cs="Times New Roman"/>
          <w:sz w:val="28"/>
          <w:szCs w:val="28"/>
        </w:rPr>
        <w:t>Khái niệm thẻ thanh toán</w:t>
      </w:r>
    </w:p>
    <w:p w14:paraId="715AC55B" w14:textId="77777777" w:rsidR="009830F5" w:rsidRPr="00093D67" w:rsidRDefault="00A311D4" w:rsidP="009830F5">
      <w:pPr>
        <w:pStyle w:val="ListParagraph"/>
        <w:spacing w:line="360" w:lineRule="auto"/>
        <w:ind w:left="0" w:firstLine="567"/>
        <w:jc w:val="both"/>
        <w:rPr>
          <w:rFonts w:ascii="Times New Roman" w:hAnsi="Times New Roman" w:cs="Times New Roman"/>
          <w:sz w:val="28"/>
          <w:szCs w:val="28"/>
        </w:rPr>
      </w:pPr>
      <w:r w:rsidRPr="00093D67">
        <w:rPr>
          <w:rFonts w:ascii="Times New Roman" w:hAnsi="Times New Roman" w:cs="Times New Roman"/>
          <w:sz w:val="28"/>
          <w:szCs w:val="28"/>
        </w:rPr>
        <w:t>Cho tới hiện nay, ở Việt Nam, “</w:t>
      </w:r>
      <w:r w:rsidRPr="00093D67">
        <w:rPr>
          <w:rFonts w:ascii="Times New Roman" w:hAnsi="Times New Roman" w:cs="Times New Roman"/>
          <w:i/>
          <w:iCs/>
          <w:sz w:val="28"/>
          <w:szCs w:val="28"/>
        </w:rPr>
        <w:t>Thẻ ngân hàng</w:t>
      </w:r>
      <w:r w:rsidRPr="00093D67">
        <w:rPr>
          <w:rFonts w:ascii="Times New Roman" w:hAnsi="Times New Roman" w:cs="Times New Roman"/>
          <w:sz w:val="28"/>
          <w:szCs w:val="28"/>
        </w:rPr>
        <w:t xml:space="preserve"> là phương tiện thanh toán do tổ chức phát hành thẻ phát hành để thực hiện giao dịch thẻ theo các Điều kiện và Điều Khoản được các bên thỏa thuận”</w:t>
      </w:r>
      <w:r w:rsidRPr="00093D67">
        <w:rPr>
          <w:rStyle w:val="FootnoteReference"/>
          <w:rFonts w:ascii="Times New Roman" w:hAnsi="Times New Roman" w:cs="Times New Roman"/>
          <w:sz w:val="28"/>
          <w:szCs w:val="28"/>
        </w:rPr>
        <w:footnoteReference w:id="1"/>
      </w:r>
      <w:r w:rsidRPr="00093D67">
        <w:rPr>
          <w:rFonts w:ascii="Times New Roman" w:hAnsi="Times New Roman" w:cs="Times New Roman"/>
          <w:sz w:val="28"/>
          <w:szCs w:val="28"/>
        </w:rPr>
        <w:t xml:space="preserve">. Nghĩa là, những loại thẻ được phát hành bởi các tổ chức bán hàng hóa, </w:t>
      </w:r>
      <w:r w:rsidRPr="00093D67">
        <w:rPr>
          <w:rFonts w:ascii="Times New Roman" w:hAnsi="Times New Roman" w:cs="Times New Roman"/>
          <w:sz w:val="28"/>
          <w:szCs w:val="28"/>
        </w:rPr>
        <w:lastRenderedPageBreak/>
        <w:t>cung ứng dịch vụ, các loại thẻ chỉ để sử dụng trong việc tiến hành thanh toán các loại hàng hóa hoặc dịch vụ của chính các tổ chức phát hành đó không nằm trong thẻ ngân hàng theo định nghĩa này.</w:t>
      </w:r>
      <w:r w:rsidR="00675878" w:rsidRPr="00093D67">
        <w:rPr>
          <w:rFonts w:ascii="Times New Roman" w:hAnsi="Times New Roman" w:cs="Times New Roman"/>
          <w:sz w:val="28"/>
          <w:szCs w:val="28"/>
        </w:rPr>
        <w:t xml:space="preserve"> </w:t>
      </w:r>
      <w:r w:rsidR="009830F5" w:rsidRPr="00093D67">
        <w:rPr>
          <w:rFonts w:ascii="Times New Roman" w:hAnsi="Times New Roman" w:cs="Times New Roman"/>
          <w:sz w:val="28"/>
          <w:szCs w:val="28"/>
        </w:rPr>
        <w:t>Theo đó, ngoài ngân hàng thì còn có công ty tài chính được phát hành thẻ tín dụng sau khi được Ngân hàng Nhà nước chấp thuận. Quy định này cũng hoàn toàn phù hợp với quy định tại điều 12 Nghị định về hoạt động của công ty tài chính và công ty cho thuê tài chính. Số: 39/2014/NĐ-CP ngày 07/05/2014. Và trên thực tế hiện nay, đã có 04 công ty tài chính đã phát hành thẻ tín dụng ra thị trường Việt Nam, bao gồm FECredit, Home Credit, Shinhan Finance và Viet Credit. Tuy nhiên, nếu quy định thẻ ngân hàng như trên thì không bao quát được các chủ thể phát hành thẻ và trên thế giới cũng không có luật pháp của quốc gia nào dùng khái niệm thẻ ngân hàng là phương tiện thanh toán. Chính vì vậy, tác giả đề xuất thay đổi ngay từ chính khái niệm này, nghĩa là, thay vì dùng thuật ngữ thẻ ngân hàng là một phương thức thanh toán thẻ, thì cần phải sửa đổi thành thẻ thanh toán, vừa bao quát các chủ thể phát hành thẻ, vừa phù hợp với khái niệm thẻ ở các quốc gia khác trên thế giới.</w:t>
      </w:r>
    </w:p>
    <w:p w14:paraId="42523888" w14:textId="77777777" w:rsidR="00A311D4" w:rsidRPr="00093D67" w:rsidRDefault="009830F5" w:rsidP="009830F5">
      <w:pPr>
        <w:pStyle w:val="ListParagraph"/>
        <w:spacing w:after="0" w:line="360" w:lineRule="auto"/>
        <w:ind w:left="0" w:firstLine="567"/>
        <w:jc w:val="both"/>
        <w:rPr>
          <w:rFonts w:ascii="Times New Roman" w:hAnsi="Times New Roman" w:cs="Times New Roman"/>
          <w:sz w:val="28"/>
          <w:szCs w:val="28"/>
        </w:rPr>
      </w:pPr>
      <w:r w:rsidRPr="00093D67">
        <w:rPr>
          <w:rFonts w:ascii="Times New Roman" w:hAnsi="Times New Roman" w:cs="Times New Roman"/>
          <w:sz w:val="28"/>
          <w:szCs w:val="28"/>
        </w:rPr>
        <w:t>Nghĩa là, cần thay thế Thông tư số 19/2016/TT-NHNN ngày 30 tháng 6 năm 2016 của Thống đốc Ngân hàng Nhà nước Việt Nam quy định về hoạt động thẻ ngân hàng thành quy định về hoạt động thẻ thanh toán. Khi đó, khoản 1 Điều 3 Thông tư mới phát huy ý nghĩa củ</w:t>
      </w:r>
      <w:r w:rsidR="00BD2282" w:rsidRPr="00093D67">
        <w:rPr>
          <w:rFonts w:ascii="Times New Roman" w:hAnsi="Times New Roman" w:cs="Times New Roman"/>
          <w:sz w:val="28"/>
          <w:szCs w:val="28"/>
        </w:rPr>
        <w:t>a nó. Tức</w:t>
      </w:r>
      <w:r w:rsidRPr="00093D67">
        <w:rPr>
          <w:rFonts w:ascii="Times New Roman" w:hAnsi="Times New Roman" w:cs="Times New Roman"/>
          <w:sz w:val="28"/>
          <w:szCs w:val="28"/>
        </w:rPr>
        <w:t xml:space="preserve"> là cần không sử dụng khái niệm thẻ ngân hàng mà cần phải dùng khái niệm thẻ</w:t>
      </w:r>
      <w:r w:rsidR="00BD2282" w:rsidRPr="00093D67">
        <w:rPr>
          <w:rFonts w:ascii="Times New Roman" w:hAnsi="Times New Roman" w:cs="Times New Roman"/>
          <w:sz w:val="28"/>
          <w:szCs w:val="28"/>
        </w:rPr>
        <w:t xml:space="preserve"> thanh toán, vì khái niệm thẻ thanh toán mới bao quát được nội hàm của nó.</w:t>
      </w:r>
    </w:p>
    <w:p w14:paraId="674F98A3" w14:textId="3E613E78" w:rsidR="00675878" w:rsidRPr="00093D67" w:rsidRDefault="00616666" w:rsidP="00E05E21">
      <w:pPr>
        <w:pStyle w:val="Heading2"/>
        <w:rPr>
          <w:rFonts w:cs="Times New Roman"/>
          <w:sz w:val="28"/>
          <w:szCs w:val="28"/>
        </w:rPr>
      </w:pPr>
      <w:r w:rsidRPr="00093D67">
        <w:rPr>
          <w:rFonts w:cs="Times New Roman"/>
          <w:sz w:val="28"/>
          <w:szCs w:val="28"/>
        </w:rPr>
        <w:t>2.1.2</w:t>
      </w:r>
      <w:r w:rsidR="00675878" w:rsidRPr="00093D67">
        <w:rPr>
          <w:rFonts w:cs="Times New Roman"/>
          <w:sz w:val="28"/>
          <w:szCs w:val="28"/>
        </w:rPr>
        <w:t>.</w:t>
      </w:r>
      <w:r w:rsidR="00E05E21" w:rsidRPr="00093D67">
        <w:rPr>
          <w:rFonts w:cs="Times New Roman"/>
          <w:sz w:val="28"/>
          <w:szCs w:val="28"/>
          <w:lang w:val="vi-VN"/>
        </w:rPr>
        <w:t xml:space="preserve"> </w:t>
      </w:r>
      <w:r w:rsidR="00675878" w:rsidRPr="00093D67">
        <w:rPr>
          <w:rFonts w:cs="Times New Roman"/>
          <w:sz w:val="28"/>
          <w:szCs w:val="28"/>
        </w:rPr>
        <w:t>Phân loại thẻ thanh toán</w:t>
      </w:r>
    </w:p>
    <w:p w14:paraId="739FA03F" w14:textId="77777777" w:rsidR="00725577" w:rsidRPr="00093D67" w:rsidRDefault="00725577" w:rsidP="00E05E21">
      <w:pPr>
        <w:pStyle w:val="NOR"/>
        <w:rPr>
          <w:sz w:val="28"/>
          <w:szCs w:val="28"/>
        </w:rPr>
      </w:pPr>
      <w:r w:rsidRPr="00093D67">
        <w:rPr>
          <w:sz w:val="28"/>
          <w:szCs w:val="28"/>
        </w:rPr>
        <w:t>Ở nội dung này, tá giả trình bày phân loại thẻ thanh toán dựa trên các tiêu chí như theo công nghệ sản xuất, căn cứ vào phạm vi sử dụng của thẻ, theo chủ thể phát hành.</w:t>
      </w:r>
    </w:p>
    <w:p w14:paraId="4DD37477" w14:textId="77777777" w:rsidR="00725577" w:rsidRPr="00093D67" w:rsidRDefault="00725577" w:rsidP="00E05E21">
      <w:pPr>
        <w:pStyle w:val="NOR"/>
        <w:rPr>
          <w:sz w:val="28"/>
          <w:szCs w:val="28"/>
        </w:rPr>
      </w:pPr>
      <w:r w:rsidRPr="00093D67">
        <w:rPr>
          <w:sz w:val="28"/>
          <w:szCs w:val="28"/>
        </w:rPr>
        <w:t>Tác giả cũng trình bày phân loại thẻ theo quy định của pháp luật Việt Nam, đó là Căn cứ vào tính chất vật lý của thẻ và căn cứ vào khả năng sử dụng nguồn tài chính.</w:t>
      </w:r>
    </w:p>
    <w:p w14:paraId="4427E281" w14:textId="7772D1BA" w:rsidR="00675878" w:rsidRPr="00093D67" w:rsidRDefault="00675878" w:rsidP="00E05E21">
      <w:pPr>
        <w:pStyle w:val="Heading2"/>
        <w:rPr>
          <w:rFonts w:cs="Times New Roman"/>
          <w:sz w:val="28"/>
          <w:szCs w:val="28"/>
        </w:rPr>
      </w:pPr>
      <w:r w:rsidRPr="00093D67">
        <w:rPr>
          <w:rFonts w:cs="Times New Roman"/>
          <w:sz w:val="28"/>
          <w:szCs w:val="28"/>
        </w:rPr>
        <w:t>2.1.3.</w:t>
      </w:r>
      <w:r w:rsidR="00E05E21" w:rsidRPr="00093D67">
        <w:rPr>
          <w:rFonts w:cs="Times New Roman"/>
          <w:sz w:val="28"/>
          <w:szCs w:val="28"/>
          <w:lang w:val="vi-VN"/>
        </w:rPr>
        <w:t xml:space="preserve"> </w:t>
      </w:r>
      <w:r w:rsidRPr="00093D67">
        <w:rPr>
          <w:rFonts w:cs="Times New Roman"/>
          <w:sz w:val="28"/>
          <w:szCs w:val="28"/>
        </w:rPr>
        <w:t>Đặc điểm pháp lý của thẻ thanh toán</w:t>
      </w:r>
    </w:p>
    <w:p w14:paraId="49295092" w14:textId="77777777" w:rsidR="00DB0FF6" w:rsidRPr="00093D67" w:rsidRDefault="00DB0FF6" w:rsidP="00E05E21">
      <w:pPr>
        <w:pStyle w:val="NOR"/>
        <w:rPr>
          <w:sz w:val="28"/>
          <w:szCs w:val="28"/>
        </w:rPr>
      </w:pPr>
      <w:r w:rsidRPr="00093D67">
        <w:rPr>
          <w:sz w:val="28"/>
          <w:szCs w:val="28"/>
        </w:rPr>
        <w:t>Dưới góc độ pháp lý, thẻ</w:t>
      </w:r>
      <w:r w:rsidR="00675878" w:rsidRPr="00093D67">
        <w:rPr>
          <w:sz w:val="28"/>
          <w:szCs w:val="28"/>
        </w:rPr>
        <w:t xml:space="preserve"> thanh toán</w:t>
      </w:r>
      <w:r w:rsidRPr="00093D67">
        <w:rPr>
          <w:sz w:val="28"/>
          <w:szCs w:val="28"/>
        </w:rPr>
        <w:t xml:space="preserve"> có các đặc điểm sau:</w:t>
      </w:r>
    </w:p>
    <w:p w14:paraId="5104C57C" w14:textId="77777777" w:rsidR="00DB0FF6" w:rsidRPr="00093D67" w:rsidRDefault="00DB0FF6" w:rsidP="00E05E21">
      <w:pPr>
        <w:pStyle w:val="NOR"/>
        <w:rPr>
          <w:sz w:val="28"/>
          <w:szCs w:val="28"/>
        </w:rPr>
      </w:pPr>
      <w:r w:rsidRPr="00093D67">
        <w:rPr>
          <w:sz w:val="28"/>
          <w:szCs w:val="28"/>
        </w:rPr>
        <w:t>Thứ nhất, thẻ</w:t>
      </w:r>
      <w:r w:rsidR="00675878" w:rsidRPr="00093D67">
        <w:rPr>
          <w:sz w:val="28"/>
          <w:szCs w:val="28"/>
        </w:rPr>
        <w:t xml:space="preserve"> thanh toán</w:t>
      </w:r>
      <w:r w:rsidRPr="00093D67">
        <w:rPr>
          <w:sz w:val="28"/>
          <w:szCs w:val="28"/>
        </w:rPr>
        <w:t xml:space="preserve"> chắn chắc phải gắn liền với một chủ sở hữu nhất định.</w:t>
      </w:r>
    </w:p>
    <w:p w14:paraId="3F18F4B9" w14:textId="77777777" w:rsidR="00A311D4" w:rsidRPr="00093D67" w:rsidRDefault="00DB0FF6" w:rsidP="00E05E21">
      <w:pPr>
        <w:pStyle w:val="NOR"/>
        <w:rPr>
          <w:sz w:val="28"/>
          <w:szCs w:val="28"/>
        </w:rPr>
      </w:pPr>
      <w:r w:rsidRPr="00093D67">
        <w:rPr>
          <w:sz w:val="28"/>
          <w:szCs w:val="28"/>
        </w:rPr>
        <w:t>Thứ hai, thẻ ngân hàng sẽ được phát hành dựa trên một thỏa thuận giữa chủ thẻ với TCPHT. Hợp đồng phát hành thẻ chính là hình thức pháp lý của thỏa thuận này.</w:t>
      </w:r>
    </w:p>
    <w:p w14:paraId="3B712C68" w14:textId="77777777" w:rsidR="00DB0FF6" w:rsidRPr="00093D67" w:rsidRDefault="00DB0FF6" w:rsidP="00E05E21">
      <w:pPr>
        <w:pStyle w:val="NOR"/>
        <w:rPr>
          <w:sz w:val="28"/>
          <w:szCs w:val="28"/>
        </w:rPr>
      </w:pPr>
      <w:r w:rsidRPr="00093D67">
        <w:rPr>
          <w:sz w:val="28"/>
          <w:szCs w:val="28"/>
        </w:rPr>
        <w:t>Thứ ba, một tài khoản ngân hàng luôn gắn với thẻ ngân hàng nhất định.</w:t>
      </w:r>
    </w:p>
    <w:p w14:paraId="7FC16B64" w14:textId="77777777" w:rsidR="00616666" w:rsidRPr="00093D67" w:rsidRDefault="00616666" w:rsidP="00E05E21">
      <w:pPr>
        <w:pStyle w:val="Heading2"/>
        <w:rPr>
          <w:rFonts w:cs="Times New Roman"/>
          <w:sz w:val="28"/>
          <w:szCs w:val="28"/>
        </w:rPr>
      </w:pPr>
      <w:r w:rsidRPr="00093D67">
        <w:rPr>
          <w:rFonts w:cs="Times New Roman"/>
          <w:sz w:val="28"/>
          <w:szCs w:val="28"/>
        </w:rPr>
        <w:t>2.1.4. Rủi ro trong thanh toán thẻ tín dụng</w:t>
      </w:r>
    </w:p>
    <w:p w14:paraId="3A41E4D2" w14:textId="77777777" w:rsidR="00616666" w:rsidRPr="00093D67" w:rsidRDefault="00616666" w:rsidP="00E05E21">
      <w:pPr>
        <w:pStyle w:val="NOR"/>
        <w:rPr>
          <w:sz w:val="28"/>
          <w:szCs w:val="28"/>
        </w:rPr>
      </w:pPr>
      <w:r w:rsidRPr="00093D67">
        <w:rPr>
          <w:sz w:val="28"/>
          <w:szCs w:val="28"/>
        </w:rPr>
        <w:t xml:space="preserve">Trong hoạt động thẻ thì rủi ro chính là các tổn thất về vật chất và phi vật chất có liên </w:t>
      </w:r>
      <w:r w:rsidRPr="00093D67">
        <w:rPr>
          <w:sz w:val="28"/>
          <w:szCs w:val="28"/>
        </w:rPr>
        <w:lastRenderedPageBreak/>
        <w:t>quan tới hoạt động kinh doanh thẻ, từ hoạt động phát hành và cho tới quá trình thanh toán thẻ. Đối tượng chịu rủi ro là không chỉ ngân hàng, mà chủ thẻ, thậm chí đơn vị chấp nhận thẻ cũng có thể gặp phải rùi ro trong những tình huống cực kỳ đơn giản đếu bỏ qua một bước nào đó trong thủ tục phát hành và thanh toán thẻ.</w:t>
      </w:r>
    </w:p>
    <w:p w14:paraId="0CF4321F" w14:textId="77777777" w:rsidR="00432D67" w:rsidRPr="00093D67" w:rsidRDefault="00432D67" w:rsidP="00E05E21">
      <w:pPr>
        <w:pStyle w:val="Heading1"/>
        <w:rPr>
          <w:sz w:val="28"/>
          <w:szCs w:val="28"/>
        </w:rPr>
      </w:pPr>
      <w:r w:rsidRPr="00093D67">
        <w:rPr>
          <w:sz w:val="28"/>
          <w:szCs w:val="28"/>
        </w:rPr>
        <w:t>2.2. Pháp luật về thẻ thanh toán</w:t>
      </w:r>
    </w:p>
    <w:p w14:paraId="0F337CF9" w14:textId="77777777" w:rsidR="00432D67" w:rsidRPr="00093D67" w:rsidRDefault="00432D67" w:rsidP="00E05E21">
      <w:pPr>
        <w:pStyle w:val="Heading2"/>
        <w:rPr>
          <w:rFonts w:cs="Times New Roman"/>
          <w:sz w:val="28"/>
          <w:szCs w:val="28"/>
        </w:rPr>
      </w:pPr>
      <w:r w:rsidRPr="00093D67">
        <w:rPr>
          <w:rFonts w:cs="Times New Roman"/>
          <w:sz w:val="28"/>
          <w:szCs w:val="28"/>
        </w:rPr>
        <w:t xml:space="preserve">2.2.1. </w:t>
      </w:r>
      <w:r w:rsidR="004141A2" w:rsidRPr="00093D67">
        <w:rPr>
          <w:rFonts w:cs="Times New Roman"/>
          <w:sz w:val="28"/>
          <w:szCs w:val="28"/>
        </w:rPr>
        <w:t>Hệ thống các văn bản quy phạm pháp luật điều chỉnh thẻ thanh toán</w:t>
      </w:r>
      <w:r w:rsidR="000469FE" w:rsidRPr="00093D67">
        <w:rPr>
          <w:rFonts w:cs="Times New Roman"/>
          <w:sz w:val="28"/>
          <w:szCs w:val="28"/>
        </w:rPr>
        <w:t xml:space="preserve"> và khái niệm pháp luật về thẻ thanh toán</w:t>
      </w:r>
    </w:p>
    <w:p w14:paraId="454E084A" w14:textId="77777777" w:rsidR="007C69CD" w:rsidRPr="00093D67" w:rsidRDefault="007C69CD" w:rsidP="00E05E21">
      <w:pPr>
        <w:pStyle w:val="NOR"/>
        <w:rPr>
          <w:sz w:val="28"/>
          <w:szCs w:val="28"/>
        </w:rPr>
      </w:pPr>
      <w:r w:rsidRPr="00093D67">
        <w:rPr>
          <w:sz w:val="28"/>
          <w:szCs w:val="28"/>
        </w:rPr>
        <w:t>Để thống nhất quản lý hoạt động thanh toán không dùng tiền mặt, bảo đảm cho thanh toán không dùng tiền mặt là công cụ quản lý, giám sát chặt chẽ, có hiệu quả mọi hoạt động thanh toán, đáp ứng yêu cầu tổ chức, quản lý điều hành của cơ quan nhà nước, doanh nghiệp, tổ chức và cá nhân, ở Việt Nam, thẻ tín dụng nói riêng và thẻ thanh toán nói chung vẫn còn khá mới mẻ nhưng pháp luật hiện hành cũng đã có quy định về lĩnh vực này. Hiện nay, pháp luật về thẻ thanh toán ở Việt Nam cũng đã có các quy đinh tạo thành một hệ thống các văn bản quy phạm pháp luật mà văn bản có thể được coi là văn bản gốc, đó là Thông tư số 19/2016/TT-NHNN quy định về hoạt động thẻ ngân hàng, ngày 30 tháng 6 näm 2016, Thống đốc Ngân hàng Nhà nước.</w:t>
      </w:r>
    </w:p>
    <w:p w14:paraId="5DA0E2B0" w14:textId="77777777" w:rsidR="00B90C94" w:rsidRPr="00093D67" w:rsidRDefault="00B90C94" w:rsidP="00E05E21">
      <w:pPr>
        <w:pStyle w:val="Heading2"/>
        <w:rPr>
          <w:rFonts w:cs="Times New Roman"/>
          <w:sz w:val="28"/>
          <w:szCs w:val="28"/>
        </w:rPr>
      </w:pPr>
      <w:r w:rsidRPr="00093D67">
        <w:rPr>
          <w:rFonts w:cs="Times New Roman"/>
          <w:sz w:val="28"/>
          <w:szCs w:val="28"/>
        </w:rPr>
        <w:t>2.2.2. Vai trò của pháp luật điều chỉnh thẻ thanh toán</w:t>
      </w:r>
    </w:p>
    <w:p w14:paraId="002551AF" w14:textId="77777777" w:rsidR="00B378ED" w:rsidRPr="00093D67" w:rsidRDefault="00B378ED" w:rsidP="00E05E21">
      <w:pPr>
        <w:pStyle w:val="NOR"/>
        <w:rPr>
          <w:sz w:val="28"/>
          <w:szCs w:val="28"/>
        </w:rPr>
      </w:pPr>
      <w:r w:rsidRPr="00093D67">
        <w:rPr>
          <w:sz w:val="28"/>
          <w:szCs w:val="28"/>
        </w:rPr>
        <w:t>Trước sự phát triển mạnh mẽ của công nghệ thông tin và với xu hướng hội nhập toàn cầu của nền kinh tế, để đáp ứng nhu cầu của thực tiễn và có các giải pháp chặt chẽ để nâng cao hiệu quả quản lý nhà nước nhằm ngăn chặn các rủi ro tiềm ẩn trong hoạt động thanh toán, bảo vệ quyền lợi người tiêu dùng, bảo vệ tính riêng tư dữ liệu của khách hàng, ngăn chặn đối phó với những nguy cơ về an ninh mạng, thúc đẩy sự đổi mới và cạnh tranh, do đó, pháp luật được Nhà nước sử dụng để làm công cụ điều chỉnh các quan hệ xã hội phát sinh trong lĩnh vực liên quan đến thẻ thanh toán</w:t>
      </w:r>
      <w:r w:rsidR="001C7A8A" w:rsidRPr="00093D67">
        <w:rPr>
          <w:sz w:val="28"/>
          <w:szCs w:val="28"/>
        </w:rPr>
        <w:t>.</w:t>
      </w:r>
    </w:p>
    <w:p w14:paraId="32BB4E96" w14:textId="77777777" w:rsidR="001C7A8A" w:rsidRPr="00093D67" w:rsidRDefault="001C7A8A" w:rsidP="00E05E21">
      <w:pPr>
        <w:pStyle w:val="Heading2"/>
        <w:rPr>
          <w:rFonts w:cs="Times New Roman"/>
          <w:sz w:val="28"/>
          <w:szCs w:val="28"/>
        </w:rPr>
      </w:pPr>
      <w:r w:rsidRPr="00093D67">
        <w:rPr>
          <w:rFonts w:cs="Times New Roman"/>
          <w:sz w:val="28"/>
          <w:szCs w:val="28"/>
        </w:rPr>
        <w:t>2.2.3. Quan hệ pháp luật về thẻ thanh toán</w:t>
      </w:r>
    </w:p>
    <w:p w14:paraId="56C2AA2F" w14:textId="77777777" w:rsidR="001C7A8A" w:rsidRPr="00093D67" w:rsidRDefault="001C7A8A" w:rsidP="00E05E21">
      <w:pPr>
        <w:pStyle w:val="NOR"/>
        <w:rPr>
          <w:b/>
          <w:sz w:val="28"/>
          <w:szCs w:val="28"/>
        </w:rPr>
      </w:pPr>
      <w:r w:rsidRPr="00093D67">
        <w:rPr>
          <w:sz w:val="28"/>
          <w:szCs w:val="28"/>
        </w:rPr>
        <w:t>Hiện nay, các thành phần tham gia vào lĩnh vực thẻ trong một quốc gia bao gồm các thành phần cơ bản như tổ chức phát hành thẻ (TCPHT), tổ chức thanh toán thẻ (TCTTT), chủ thẻ và các đơn vị chấp nhận thẻ (ĐVCNT). Các tổ chức thẻ quốc tế cũng tham gia vào các quan hệ thanh toán thẻ đối với thẻ quốc tế.</w:t>
      </w:r>
    </w:p>
    <w:p w14:paraId="05079F33" w14:textId="77777777" w:rsidR="00EF3ADF" w:rsidRPr="00093D67" w:rsidRDefault="001C7A8A" w:rsidP="00E05E21">
      <w:pPr>
        <w:pStyle w:val="Heading3"/>
        <w:rPr>
          <w:rFonts w:cs="Times New Roman"/>
          <w:sz w:val="28"/>
          <w:szCs w:val="28"/>
        </w:rPr>
      </w:pPr>
      <w:r w:rsidRPr="00093D67">
        <w:rPr>
          <w:rFonts w:cs="Times New Roman"/>
          <w:sz w:val="28"/>
          <w:szCs w:val="28"/>
        </w:rPr>
        <w:t>2.2.3</w:t>
      </w:r>
      <w:r w:rsidR="00EF3ADF" w:rsidRPr="00093D67">
        <w:rPr>
          <w:rFonts w:cs="Times New Roman"/>
          <w:sz w:val="28"/>
          <w:szCs w:val="28"/>
        </w:rPr>
        <w:t>.1. Quan hệ giữa tổ chức phát hành thẻ và chủ thẻ</w:t>
      </w:r>
    </w:p>
    <w:p w14:paraId="10731E01" w14:textId="77777777" w:rsidR="00EF3ADF" w:rsidRPr="00093D67" w:rsidRDefault="00EF3ADF" w:rsidP="00E05E21">
      <w:pPr>
        <w:pStyle w:val="NOR"/>
        <w:rPr>
          <w:sz w:val="28"/>
          <w:szCs w:val="28"/>
        </w:rPr>
      </w:pPr>
      <w:r w:rsidRPr="00093D67">
        <w:rPr>
          <w:sz w:val="28"/>
          <w:szCs w:val="28"/>
        </w:rPr>
        <w:t xml:space="preserve">Về bản chất, quan hệ pháp luật giữa TCPHT và chủ thẻ là mối quan hệ tài sản. Do đó, </w:t>
      </w:r>
      <w:r w:rsidRPr="00093D67">
        <w:rPr>
          <w:sz w:val="28"/>
          <w:szCs w:val="28"/>
        </w:rPr>
        <w:lastRenderedPageBreak/>
        <w:t>nó chịu sự điều chỉnh trước hết là của pháp luật dân sự và pháp luật ngân hàng.</w:t>
      </w:r>
    </w:p>
    <w:p w14:paraId="2B52C1DD" w14:textId="77777777" w:rsidR="00EF3ADF" w:rsidRPr="00093D67" w:rsidRDefault="001C7A8A" w:rsidP="00E05E21">
      <w:pPr>
        <w:pStyle w:val="Heading3"/>
        <w:rPr>
          <w:rFonts w:cs="Times New Roman"/>
          <w:sz w:val="28"/>
          <w:szCs w:val="28"/>
        </w:rPr>
      </w:pPr>
      <w:r w:rsidRPr="00093D67">
        <w:rPr>
          <w:rFonts w:cs="Times New Roman"/>
          <w:sz w:val="28"/>
          <w:szCs w:val="28"/>
        </w:rPr>
        <w:t>2.2.3</w:t>
      </w:r>
      <w:r w:rsidR="00EF3ADF" w:rsidRPr="00093D67">
        <w:rPr>
          <w:rFonts w:cs="Times New Roman"/>
          <w:sz w:val="28"/>
          <w:szCs w:val="28"/>
        </w:rPr>
        <w:t>.2. Quan hệ giữa chủ thẻ và đơn vị chấp nhận thẻ</w:t>
      </w:r>
    </w:p>
    <w:p w14:paraId="20E4094A" w14:textId="77777777" w:rsidR="00EF3ADF" w:rsidRPr="00093D67" w:rsidRDefault="00EF3ADF" w:rsidP="00E05E21">
      <w:pPr>
        <w:pStyle w:val="NOR"/>
        <w:rPr>
          <w:sz w:val="28"/>
          <w:szCs w:val="28"/>
        </w:rPr>
      </w:pPr>
      <w:r w:rsidRPr="00093D67">
        <w:rPr>
          <w:sz w:val="28"/>
          <w:szCs w:val="28"/>
        </w:rPr>
        <w:t>Quan hệ giữa chủ thẻ và ĐVCNT là quan hệ thương mại thuần túy giữa chủ thẻ - người tiêu dùng và ĐVCNT - đơn vị cung cấp hàng hóa, dịch vụ. Phần liên quan đến thanh toán bằng thẻ ngân hàng là nghĩa vụ trả tiền cho ĐVCNT. Đối với thẻ tín dụng, hai bên dựa trên sự thỏa thuận phương thức thanh toán là sử dụng thẻ tín dụng của chủ thẻ. Chủ thẻ vẫn là người chịu trách nhiệm cuối cùng về việc thanh toán giá trị tiền hàng hóa, dịch vụ đã tiêu dùng tại ĐVCNT.</w:t>
      </w:r>
    </w:p>
    <w:p w14:paraId="674512BA" w14:textId="77777777" w:rsidR="00EF3ADF" w:rsidRPr="00093D67" w:rsidRDefault="001C7A8A" w:rsidP="00E05E21">
      <w:pPr>
        <w:pStyle w:val="Heading3"/>
        <w:rPr>
          <w:rFonts w:cs="Times New Roman"/>
          <w:sz w:val="28"/>
          <w:szCs w:val="28"/>
        </w:rPr>
      </w:pPr>
      <w:r w:rsidRPr="00093D67">
        <w:rPr>
          <w:rFonts w:cs="Times New Roman"/>
          <w:sz w:val="28"/>
          <w:szCs w:val="28"/>
        </w:rPr>
        <w:t>2.2.3</w:t>
      </w:r>
      <w:r w:rsidR="00EF3ADF" w:rsidRPr="00093D67">
        <w:rPr>
          <w:rFonts w:cs="Times New Roman"/>
          <w:sz w:val="28"/>
          <w:szCs w:val="28"/>
        </w:rPr>
        <w:t>.3. Quan hệ giữa đơn vị chấp nhận thẻ và tổ chức thanh toán thẻ</w:t>
      </w:r>
    </w:p>
    <w:p w14:paraId="5FEC6846" w14:textId="77777777" w:rsidR="00EF3ADF" w:rsidRPr="00093D67" w:rsidRDefault="00EF3ADF" w:rsidP="00E05E21">
      <w:pPr>
        <w:pStyle w:val="NOR"/>
        <w:rPr>
          <w:sz w:val="28"/>
          <w:szCs w:val="28"/>
        </w:rPr>
      </w:pPr>
      <w:r w:rsidRPr="00093D67">
        <w:rPr>
          <w:sz w:val="28"/>
          <w:szCs w:val="28"/>
        </w:rPr>
        <w:t>Quan hệ giữa đơn vị chấp nhận thẻ (ĐVCNT) và TCTTT phát sinh trên cơ sở hợp đồng được ký kết giữa hai bên.</w:t>
      </w:r>
    </w:p>
    <w:p w14:paraId="0B692531" w14:textId="77777777" w:rsidR="00845A50" w:rsidRPr="00093D67" w:rsidRDefault="001C7A8A" w:rsidP="00E05E21">
      <w:pPr>
        <w:pStyle w:val="Heading3"/>
        <w:rPr>
          <w:rFonts w:cs="Times New Roman"/>
          <w:sz w:val="28"/>
          <w:szCs w:val="28"/>
        </w:rPr>
      </w:pPr>
      <w:r w:rsidRPr="00093D67">
        <w:rPr>
          <w:rFonts w:cs="Times New Roman"/>
          <w:sz w:val="28"/>
          <w:szCs w:val="28"/>
        </w:rPr>
        <w:t>2.2.3</w:t>
      </w:r>
      <w:r w:rsidR="00845A50" w:rsidRPr="00093D67">
        <w:rPr>
          <w:rFonts w:cs="Times New Roman"/>
          <w:sz w:val="28"/>
          <w:szCs w:val="28"/>
        </w:rPr>
        <w:t>.4. Quan hệ giữa tổ chức phát hành thẻ và tổ chức thanh toán thẻ</w:t>
      </w:r>
    </w:p>
    <w:p w14:paraId="5BC48185" w14:textId="77777777" w:rsidR="00845A50" w:rsidRPr="00093D67" w:rsidRDefault="00845A50" w:rsidP="00E05E21">
      <w:pPr>
        <w:pStyle w:val="NOR"/>
        <w:rPr>
          <w:sz w:val="28"/>
          <w:szCs w:val="28"/>
        </w:rPr>
      </w:pPr>
      <w:r w:rsidRPr="00093D67">
        <w:rPr>
          <w:sz w:val="28"/>
          <w:szCs w:val="28"/>
        </w:rPr>
        <w:t>Về nguyên tắc, TCPHT có thể đồng thời là TCTTT. Tuy nhiên, với điều kiện nền kinh tế hàng hóa ngày càng phát triển, tính chuyên môn hóa ngày càng cao thì cần thiết hai tổ chức này phải khác nhau nhằm đem lại sự thuận tiện, tiết kiệm thời gian. Khi có sự phân chia thì TCPHT làm nhiệm vụ phát hành thẻ và TCTTT sẽ tiến hành thực hiện các dịch vụ thanh toán thẻ theo hợp đồng đã ký kết với TCPHT.</w:t>
      </w:r>
    </w:p>
    <w:p w14:paraId="1CA9B86A" w14:textId="77777777" w:rsidR="00845A50" w:rsidRPr="00093D67" w:rsidRDefault="001C7A8A" w:rsidP="00E05E21">
      <w:pPr>
        <w:pStyle w:val="Heading3"/>
        <w:rPr>
          <w:rFonts w:cs="Times New Roman"/>
          <w:sz w:val="28"/>
          <w:szCs w:val="28"/>
        </w:rPr>
      </w:pPr>
      <w:r w:rsidRPr="00093D67">
        <w:rPr>
          <w:rFonts w:cs="Times New Roman"/>
          <w:sz w:val="28"/>
          <w:szCs w:val="28"/>
        </w:rPr>
        <w:t>2.2.3</w:t>
      </w:r>
      <w:r w:rsidR="00845A50" w:rsidRPr="00093D67">
        <w:rPr>
          <w:rFonts w:cs="Times New Roman"/>
          <w:sz w:val="28"/>
          <w:szCs w:val="28"/>
        </w:rPr>
        <w:t>.5. Quan hệ giữa tổ chức thẻ quốc tế với các tổ chức phát hành thẻ, tổ chức thanh toán thẻ Việt Nam</w:t>
      </w:r>
    </w:p>
    <w:p w14:paraId="36147FF8" w14:textId="65947D89" w:rsidR="00845A50" w:rsidRPr="00093D67" w:rsidRDefault="00845A50" w:rsidP="00E05E21">
      <w:pPr>
        <w:pStyle w:val="NOR"/>
        <w:rPr>
          <w:sz w:val="28"/>
          <w:szCs w:val="28"/>
        </w:rPr>
      </w:pPr>
      <w:r w:rsidRPr="00093D67">
        <w:rPr>
          <w:sz w:val="28"/>
          <w:szCs w:val="28"/>
        </w:rPr>
        <w:t>Mối quan hệ giữa TCTQT với các TCPHT, TCTTT Việt Nam không chỉ liên quan đến có thành phần pháp nhân nước ngoài, mà còn có liên quan đến các tài sản ở nước ngoài. Khi chủ thẻ nước ngoài sử dụng thẻ tại Việt Nam và chủ thẻ Việt Nam chi tiêu ở nước ngoài sẽ phát sinh số tiền thanh toán quyết toán thông qua giao dịch thẻ. Nghĩa là, quan hệ giữa các TCPHT tại Việt Nam và TCTQT trước tiên là quan hệ dân sự có yếu tố nước ngoài nhưng chịu sự điều chỉnh của các quy phạm tư pháp quốc tế, trong đó luật dân sự Việt Nam, luật thương mại của Việt Nam, các điều ước quốc tế mà Việt Nam ký kết hoặc tham gia và các thông lệ quốc tế liên quan đến việc quá trình thanh toán thẻ tín dụng cũng điều chỉnh. Đặc biệt, pháp luật Việt Nam cũng thừa nhận các quy định nội bộ của các TCTQT như là một nguồn quy phạm để áp dụng.</w:t>
      </w:r>
    </w:p>
    <w:p w14:paraId="4B7E0F2E" w14:textId="77777777" w:rsidR="00E769F9" w:rsidRPr="00093D67" w:rsidRDefault="00E769F9" w:rsidP="00E05E21">
      <w:pPr>
        <w:pStyle w:val="Heading1"/>
        <w:rPr>
          <w:sz w:val="28"/>
          <w:szCs w:val="28"/>
        </w:rPr>
      </w:pPr>
      <w:r w:rsidRPr="00093D67">
        <w:rPr>
          <w:sz w:val="28"/>
          <w:szCs w:val="28"/>
        </w:rPr>
        <w:t>2.3. Vai trò của thẻ thanh toán trong thanh toán không dùng tiền mặt</w:t>
      </w:r>
    </w:p>
    <w:p w14:paraId="3E19397E" w14:textId="77777777" w:rsidR="00E769F9" w:rsidRPr="00093D67" w:rsidRDefault="008C6225" w:rsidP="00E05E21">
      <w:pPr>
        <w:pStyle w:val="NOR"/>
        <w:rPr>
          <w:sz w:val="28"/>
          <w:szCs w:val="28"/>
        </w:rPr>
      </w:pPr>
      <w:r w:rsidRPr="00093D67">
        <w:rPr>
          <w:sz w:val="28"/>
          <w:szCs w:val="28"/>
        </w:rPr>
        <w:t xml:space="preserve">Trải qua vài thập kỷ hình thành và phát triển, phương thức thanh toán thẻ đã và đang </w:t>
      </w:r>
      <w:r w:rsidRPr="00093D67">
        <w:rPr>
          <w:sz w:val="28"/>
          <w:szCs w:val="28"/>
        </w:rPr>
        <w:lastRenderedPageBreak/>
        <w:t>chứng tỏ ưu việt của mình so với các phương thức tồn tại trước đó. Các tiện ích mà nó đem lại cho nền kinh tế cũng như các chủ thể tham gia hoạt động thanh toán thẻ là một yếu tố quan trọng quyết định đến sự phát triển của loại hình thanh toán này trên toàn thế giới. Thẻ là phương thức thanh toán đem lại lợi ích không chỉ cho nền kinh tế, cho người sử dụng thẻ mà còn có lợi cho đơn vị chấp nhận thẻ cũng như tổ chức phát hành thẻ.</w:t>
      </w:r>
    </w:p>
    <w:p w14:paraId="68BF722F" w14:textId="77777777" w:rsidR="001C7A8A" w:rsidRPr="00093D67" w:rsidRDefault="00007D95" w:rsidP="00E05E21">
      <w:pPr>
        <w:pStyle w:val="Heading1"/>
        <w:rPr>
          <w:sz w:val="28"/>
          <w:szCs w:val="28"/>
        </w:rPr>
      </w:pPr>
      <w:r w:rsidRPr="00093D67">
        <w:rPr>
          <w:sz w:val="28"/>
          <w:szCs w:val="28"/>
        </w:rPr>
        <w:t>2.4</w:t>
      </w:r>
      <w:r w:rsidR="001C7A8A" w:rsidRPr="00093D67">
        <w:rPr>
          <w:sz w:val="28"/>
          <w:szCs w:val="28"/>
        </w:rPr>
        <w:t>. Xu hướng phát triển của thẻ thanh toán</w:t>
      </w:r>
    </w:p>
    <w:p w14:paraId="138C65FF" w14:textId="77777777" w:rsidR="00CC49CE" w:rsidRPr="00093D67" w:rsidRDefault="00CC49CE" w:rsidP="00E05E21">
      <w:pPr>
        <w:pStyle w:val="NOR"/>
        <w:rPr>
          <w:sz w:val="28"/>
          <w:szCs w:val="28"/>
        </w:rPr>
      </w:pPr>
      <w:r w:rsidRPr="00093D67">
        <w:rPr>
          <w:sz w:val="28"/>
          <w:szCs w:val="28"/>
        </w:rPr>
        <w:t>Cho tới nay, thẻ ngân hàng đã ra đời và tồn tại, đóng vị trí quan trọng trong việc thực hiện chức năng thanh toán. Đối với các quốc gia phát triển trên thế giới, việc không sử dụng tiền mặt trong thanh toán hàng ngày đã và đang là xu hướng chung và phổ biến nhất hiện nay.</w:t>
      </w:r>
    </w:p>
    <w:p w14:paraId="0C3190DA" w14:textId="77777777" w:rsidR="00C43E72" w:rsidRPr="00093D67" w:rsidRDefault="00007D95" w:rsidP="00E05E21">
      <w:pPr>
        <w:pStyle w:val="Heading1"/>
        <w:rPr>
          <w:sz w:val="28"/>
          <w:szCs w:val="28"/>
        </w:rPr>
      </w:pPr>
      <w:r w:rsidRPr="00093D67">
        <w:rPr>
          <w:sz w:val="28"/>
          <w:szCs w:val="28"/>
        </w:rPr>
        <w:t>2.5</w:t>
      </w:r>
      <w:r w:rsidR="00C43E72" w:rsidRPr="00093D67">
        <w:rPr>
          <w:sz w:val="28"/>
          <w:szCs w:val="28"/>
        </w:rPr>
        <w:t>. Sự cần thiết phải hoàn thiện pháp luật về thẻ thanh toán</w:t>
      </w:r>
    </w:p>
    <w:p w14:paraId="648EAAEC" w14:textId="77777777" w:rsidR="00C43E72" w:rsidRPr="00093D67" w:rsidRDefault="00C43E72" w:rsidP="00E05E21">
      <w:pPr>
        <w:pStyle w:val="NOR"/>
        <w:rPr>
          <w:sz w:val="28"/>
          <w:szCs w:val="28"/>
        </w:rPr>
      </w:pPr>
      <w:r w:rsidRPr="00093D67">
        <w:rPr>
          <w:sz w:val="28"/>
          <w:szCs w:val="28"/>
        </w:rPr>
        <w:t>Sự vận động và phát triển của ngân hàng và hoạt động ngân hàng trong điều kiện kinh tế thị trường rất cần thiết và không thể thiếu vắng sự can thiệp, quản lý, điều tiết và kiểm soát từ phía nhà nước. Thực tế tại Việt Nam, chủ thể thực hiện hoạt động kinh doanh thẻ phần lớn lại là các ngân hàng do liên quan chủ yếu đến các hoạt động ngân hàng như: cấp tín dụng, thanh toán, bảo lãnh, ngoại hối… Chính vì vậy, để tạo lập hệ thống các tổ chức phát hành thẻ, đặc biệt là thẻ tín dụng, tổ chức thanh toán thẻ tín dụng… hoạt động an toàn, phát huy vai trò tích cực đối với nền kinh tế và đời sống xã hội đòi hỏi nhà nước phải sử dụng đồng bộ nhiều biện pháp, trong đó có biện pháp sử dụng pháp luật.</w:t>
      </w:r>
    </w:p>
    <w:p w14:paraId="5040149F" w14:textId="77777777" w:rsidR="00CC49CE" w:rsidRPr="00093D67" w:rsidRDefault="00FB1A51" w:rsidP="001C7A8A">
      <w:pPr>
        <w:spacing w:after="0" w:line="360" w:lineRule="auto"/>
        <w:jc w:val="center"/>
        <w:rPr>
          <w:rFonts w:ascii="Times New Roman" w:eastAsia="Times New Roman" w:hAnsi="Times New Roman" w:cs="Times New Roman"/>
          <w:b/>
          <w:sz w:val="28"/>
          <w:szCs w:val="28"/>
        </w:rPr>
      </w:pPr>
      <w:r w:rsidRPr="00093D67">
        <w:rPr>
          <w:rFonts w:ascii="Times New Roman" w:eastAsia="Times New Roman" w:hAnsi="Times New Roman" w:cs="Times New Roman"/>
          <w:b/>
          <w:sz w:val="28"/>
          <w:szCs w:val="28"/>
        </w:rPr>
        <w:t>Tóm tắt chương 2</w:t>
      </w:r>
    </w:p>
    <w:p w14:paraId="4563FF63" w14:textId="77777777" w:rsidR="00C43E72" w:rsidRPr="00093D67" w:rsidRDefault="00C43E72" w:rsidP="00C604EE">
      <w:pPr>
        <w:pStyle w:val="NOR"/>
        <w:spacing w:line="348" w:lineRule="auto"/>
        <w:rPr>
          <w:rFonts w:eastAsia="Times New Roman"/>
          <w:sz w:val="28"/>
          <w:szCs w:val="28"/>
        </w:rPr>
      </w:pPr>
      <w:r w:rsidRPr="00093D67">
        <w:rPr>
          <w:rFonts w:eastAsia="Times New Roman"/>
          <w:sz w:val="28"/>
          <w:szCs w:val="28"/>
        </w:rPr>
        <w:t>Dịch vụ thẻ phát triển từ lâu trên thế giới, phát triển nhanh trong những năm gần đây, đặc biệt là tại một số nước châu Á, những nền kinh tế mới nổi. Hiện nay đã hình thành một số tổ chức thẻ tín dụng quốc tế, hoạt động trên phạm vi toàn cầu, song chủ lực vẫn là các ngân hàng, vừa là người phát hành, vừa là người thanh toán.</w:t>
      </w:r>
    </w:p>
    <w:p w14:paraId="28495AD3" w14:textId="77777777" w:rsidR="00C43E72" w:rsidRPr="00093D67" w:rsidRDefault="00C43E72" w:rsidP="00C604EE">
      <w:pPr>
        <w:pStyle w:val="NOR"/>
        <w:spacing w:line="348" w:lineRule="auto"/>
        <w:rPr>
          <w:rFonts w:eastAsia="Times New Roman"/>
          <w:sz w:val="28"/>
          <w:szCs w:val="28"/>
        </w:rPr>
      </w:pPr>
      <w:r w:rsidRPr="00093D67">
        <w:rPr>
          <w:rFonts w:eastAsia="Times New Roman"/>
          <w:sz w:val="28"/>
          <w:szCs w:val="28"/>
        </w:rPr>
        <w:t>Thẻ phát triển rất đa dạng có nhiều loại khác nhau, mang lại nhiều tiện ích cho khách hàng, cho chủ thẻ, thúc đẩy thanh toán không dùng tiền mặt trong nền kinh tế, đa dạng hoá dịch vụ ngân hàng và tăng thu phí dịch vụ cho các NHTM.</w:t>
      </w:r>
    </w:p>
    <w:p w14:paraId="7D041FAD" w14:textId="77777777" w:rsidR="00093D67" w:rsidRDefault="00C43E72" w:rsidP="00093D67">
      <w:pPr>
        <w:pStyle w:val="NOR"/>
        <w:spacing w:line="348" w:lineRule="auto"/>
        <w:rPr>
          <w:rFonts w:eastAsia="Times New Roman"/>
          <w:sz w:val="28"/>
          <w:szCs w:val="28"/>
        </w:rPr>
      </w:pPr>
      <w:r w:rsidRPr="00093D67">
        <w:rPr>
          <w:rFonts w:eastAsia="Times New Roman"/>
          <w:sz w:val="28"/>
          <w:szCs w:val="28"/>
        </w:rPr>
        <w:t xml:space="preserve">Phát triển dịch vụ thẻ phải dựa trên nhiều nền tảng khác nhau, như trình độ phát triển của nền kinh tế và thu nhập của dân cư, thói quen và tâm lý của người dân, nền tảng công nghệ nói chung và công nghệ ngân hàng nói riêng, trình độ phát triển của hệ thống ngân hàng và sự hợp tác của các đơn vị chấp nhận thanh toán thẻ. Trong quá trình phát hành và </w:t>
      </w:r>
      <w:r w:rsidRPr="00093D67">
        <w:rPr>
          <w:rFonts w:eastAsia="Times New Roman"/>
          <w:sz w:val="28"/>
          <w:szCs w:val="28"/>
        </w:rPr>
        <w:lastRenderedPageBreak/>
        <w:t>sử dụng thẻ, các mối quan hệ pháp luật về thẻ thanh toán sẽ phát sinh, trong đó, các bên trong các mối quan hệ này có các quyền và nghĩa vụ khác nhau. Chính vì vậy, để có thể quản lý hình thức thanh toán thẻ này, pháp luật của các quốc gia đều có những quy định cụ thể để điều chỉnh, Việt Nam cũng không ngoại lệ. Các quy định của pháp luật về thẻ thanh toán ngày càng được chú trọng trong quá trình quản lý và kịp thời sửa đổi bổ sung cho phù hợp với tình hình mới. Tuy nhiên, cho tới hiện nay, pháp luật liên quan đến thẻ thanh toán vẫn chưa hoàn toàn hoàn thiện, vẫn còn nhiều bất cập cần phải giải quyết. Chính vì vậy, tìm hiểu thực trạng pháp luật Việt Nam về thẻ thanh toán để đưa ra kiến nghị hoàn thiện là hoàn toàn cần thiết.</w:t>
      </w:r>
    </w:p>
    <w:p w14:paraId="7EA8E8EA" w14:textId="27518265" w:rsidR="00D8102E" w:rsidRPr="00093D67" w:rsidRDefault="00D8102E" w:rsidP="00093D67">
      <w:pPr>
        <w:pStyle w:val="NOR"/>
        <w:spacing w:line="348" w:lineRule="auto"/>
        <w:rPr>
          <w:b/>
          <w:iCs/>
          <w:sz w:val="28"/>
          <w:szCs w:val="28"/>
        </w:rPr>
      </w:pPr>
      <w:r w:rsidRPr="00093D67">
        <w:rPr>
          <w:b/>
          <w:iCs/>
          <w:sz w:val="28"/>
          <w:szCs w:val="28"/>
        </w:rPr>
        <w:t>CHƯƠNG 3: THỰC TRẠNG PHÁP LUẬT VIỆT NAM VỀ THẺ THANH TOÁN</w:t>
      </w:r>
      <w:r w:rsidR="00386916" w:rsidRPr="00093D67">
        <w:rPr>
          <w:b/>
          <w:iCs/>
          <w:sz w:val="28"/>
          <w:szCs w:val="28"/>
        </w:rPr>
        <w:t>, THỰC TIỄN THỰC HIỆN</w:t>
      </w:r>
      <w:r w:rsidRPr="00093D67">
        <w:rPr>
          <w:b/>
          <w:iCs/>
          <w:sz w:val="28"/>
          <w:szCs w:val="28"/>
        </w:rPr>
        <w:t xml:space="preserve"> VÀ KIẾN NGHỊ HOÀN THIỆN</w:t>
      </w:r>
    </w:p>
    <w:p w14:paraId="30FC4F52" w14:textId="77777777" w:rsidR="00393882" w:rsidRPr="00093D67" w:rsidRDefault="00393882" w:rsidP="00C604EE">
      <w:pPr>
        <w:pStyle w:val="Heading1"/>
        <w:rPr>
          <w:rFonts w:eastAsiaTheme="majorEastAsia"/>
          <w:sz w:val="28"/>
          <w:szCs w:val="28"/>
        </w:rPr>
      </w:pPr>
      <w:r w:rsidRPr="00093D67">
        <w:rPr>
          <w:rFonts w:eastAsiaTheme="majorEastAsia"/>
          <w:sz w:val="28"/>
          <w:szCs w:val="28"/>
        </w:rPr>
        <w:t>3.1. Định hướ</w:t>
      </w:r>
      <w:r w:rsidR="000469FE" w:rsidRPr="00093D67">
        <w:rPr>
          <w:rFonts w:eastAsiaTheme="majorEastAsia"/>
          <w:sz w:val="28"/>
          <w:szCs w:val="28"/>
        </w:rPr>
        <w:t xml:space="preserve">ng </w:t>
      </w:r>
      <w:r w:rsidRPr="00093D67">
        <w:rPr>
          <w:rFonts w:eastAsiaTheme="majorEastAsia"/>
          <w:sz w:val="28"/>
          <w:szCs w:val="28"/>
        </w:rPr>
        <w:t>hoàn thiện pháp luật Việt Nam về thẻ thanh toán</w:t>
      </w:r>
    </w:p>
    <w:p w14:paraId="5A7BCF6F" w14:textId="77777777" w:rsidR="00393882" w:rsidRPr="00093D67" w:rsidRDefault="00393882" w:rsidP="00C604EE">
      <w:pPr>
        <w:pStyle w:val="NOR"/>
        <w:rPr>
          <w:sz w:val="28"/>
          <w:szCs w:val="28"/>
        </w:rPr>
      </w:pPr>
      <w:r w:rsidRPr="00093D67">
        <w:rPr>
          <w:sz w:val="28"/>
          <w:szCs w:val="28"/>
        </w:rPr>
        <w:t>Dựa trên phân tích nghiên cứu, theo NCS, việc hoàn thiện pháp luật Việt Nam về thẻ thanh toán là tất yếu khách quan. Tuy nhiên, hoàn thiện cũng cần có định hướng để có thể phát huy được hết tác dụng của các quy phạm pháp luật vào trong đời sống kinh tế - xã hội, tránh việc sửa đổi bổ sung nhiều lần. Trên tinh thần đó, việc hoàn thiện pháp luật Việt nam về thẻ thanh toán cần quán triệt phương hướng thống nhất. Luận án đề cập đến năm phương hướng cơ bản làm kim chỉ nam cho việc hoàn thiện pháp luật về thẻ thanh toán.</w:t>
      </w:r>
    </w:p>
    <w:p w14:paraId="5AD1BC93" w14:textId="77777777" w:rsidR="005A02AA" w:rsidRPr="00093D67" w:rsidRDefault="005A02AA" w:rsidP="00C604EE">
      <w:pPr>
        <w:pStyle w:val="Heading1"/>
        <w:rPr>
          <w:rFonts w:eastAsiaTheme="majorEastAsia"/>
          <w:sz w:val="28"/>
          <w:szCs w:val="28"/>
        </w:rPr>
      </w:pPr>
      <w:r w:rsidRPr="00093D67">
        <w:rPr>
          <w:rFonts w:eastAsiaTheme="majorEastAsia"/>
          <w:sz w:val="28"/>
          <w:szCs w:val="28"/>
        </w:rPr>
        <w:t>3.2. Thực trạng pháp luật Việt Nam trong phát hành thẻ thanh toán, thực tiễn thực hiện và kiến nghị hoàn thiện</w:t>
      </w:r>
    </w:p>
    <w:p w14:paraId="3B3C38C8" w14:textId="77777777" w:rsidR="005A02AA" w:rsidRPr="00093D67" w:rsidRDefault="005A02AA" w:rsidP="00C604EE">
      <w:pPr>
        <w:pStyle w:val="Heading2"/>
        <w:rPr>
          <w:rFonts w:cs="Times New Roman"/>
          <w:sz w:val="28"/>
          <w:szCs w:val="28"/>
        </w:rPr>
      </w:pPr>
      <w:r w:rsidRPr="00093D67">
        <w:rPr>
          <w:rFonts w:cs="Times New Roman"/>
          <w:sz w:val="28"/>
          <w:szCs w:val="28"/>
        </w:rPr>
        <w:t>3.2.1. Thực trạng pháp luật Việt Nam về điều kiện đối với chủ thẻ thanh toán, thực tiễn thực hiện và kiến nghị hoàn thiện</w:t>
      </w:r>
    </w:p>
    <w:p w14:paraId="105B2148" w14:textId="77777777" w:rsidR="00587ACF" w:rsidRPr="00093D67" w:rsidRDefault="00587ACF" w:rsidP="00C604EE">
      <w:pPr>
        <w:pStyle w:val="NOR"/>
        <w:rPr>
          <w:sz w:val="28"/>
          <w:szCs w:val="28"/>
        </w:rPr>
      </w:pPr>
      <w:r w:rsidRPr="00093D67">
        <w:rPr>
          <w:sz w:val="28"/>
          <w:szCs w:val="28"/>
        </w:rPr>
        <w:t>Chỉ riêng đối tượng được sử dụng thẻ</w:t>
      </w:r>
      <w:r w:rsidR="006A385C" w:rsidRPr="00093D67">
        <w:rPr>
          <w:sz w:val="28"/>
          <w:szCs w:val="28"/>
        </w:rPr>
        <w:t xml:space="preserve"> thanh toán</w:t>
      </w:r>
      <w:r w:rsidRPr="00093D67">
        <w:rPr>
          <w:sz w:val="28"/>
          <w:szCs w:val="28"/>
        </w:rPr>
        <w:t xml:space="preserve"> đã phải qua sửa đổi bổ sung nhiều lần và các khoảng thời gian cận nhau, cho thấy, khi ban hành quy định về chủ thể sử dụng thẻ này, cơ quan ban hành pháp luật đã chưa nhìn thấy được những vướng mắc cần thiết với dự liệu và do đó phải liên tục thay đổi cho phù hợp.</w:t>
      </w:r>
    </w:p>
    <w:p w14:paraId="13188BB8" w14:textId="77777777" w:rsidR="00587ACF" w:rsidRPr="00093D67" w:rsidRDefault="00587ACF" w:rsidP="00C604EE">
      <w:pPr>
        <w:pStyle w:val="NOR"/>
        <w:rPr>
          <w:sz w:val="28"/>
          <w:szCs w:val="28"/>
        </w:rPr>
      </w:pPr>
      <w:r w:rsidRPr="00093D67">
        <w:rPr>
          <w:sz w:val="28"/>
          <w:szCs w:val="28"/>
        </w:rPr>
        <w:t>Quy định điều kiện đối với chủ thẻ ở Việt Nam có sự khác biệt với các quốc gia phát triển, đã sử dụng phương tiện thanh toán thẻ từ rất sớm.</w:t>
      </w:r>
    </w:p>
    <w:p w14:paraId="2FB4CD0A" w14:textId="77777777" w:rsidR="00587ACF" w:rsidRPr="00093D67" w:rsidRDefault="00587ACF" w:rsidP="00C604EE">
      <w:pPr>
        <w:pStyle w:val="NOR"/>
        <w:rPr>
          <w:sz w:val="28"/>
          <w:szCs w:val="28"/>
        </w:rPr>
      </w:pPr>
      <w:r w:rsidRPr="00093D67">
        <w:rPr>
          <w:sz w:val="28"/>
          <w:szCs w:val="28"/>
        </w:rPr>
        <w:t>Ở Mỹ, quy định về độ tuổi tối thiểu để sở hữu thẻ ngân hàng khác nhau đối với các loại thẻ khác nhau phụ thuộc vào tính chất của thẻ.</w:t>
      </w:r>
    </w:p>
    <w:p w14:paraId="462ABF24" w14:textId="77777777" w:rsidR="00587ACF" w:rsidRPr="00093D67" w:rsidRDefault="00587ACF" w:rsidP="00C604EE">
      <w:pPr>
        <w:pStyle w:val="NOR"/>
        <w:rPr>
          <w:sz w:val="28"/>
          <w:szCs w:val="28"/>
        </w:rPr>
      </w:pPr>
      <w:r w:rsidRPr="00093D67">
        <w:rPr>
          <w:sz w:val="28"/>
          <w:szCs w:val="28"/>
        </w:rPr>
        <w:t xml:space="preserve">Khi thanh thiếu niên ở Mỹ bước sang tuổi 18, họ được coi là người lớn hợp pháp và có </w:t>
      </w:r>
      <w:r w:rsidRPr="00093D67">
        <w:rPr>
          <w:sz w:val="28"/>
          <w:szCs w:val="28"/>
        </w:rPr>
        <w:lastRenderedPageBreak/>
        <w:t>thể ký kết hợp đồng, bao gồm cả thỏa thuận thẻ tín dụng. Tuy nhiên, do luật có hiệu lực từ năm 2010, thanh niên từ 18 đến 20 tuổi vẫn có một số hạn chế trong việc sử dụng thẻ tín dụng. Người nộp đơn phải có cha mẹ, người giám hộ hoặc vợ / chồng đồng ký tên trên tài khoản hoặc có bằng chứng về thu nhập đủ để thanh toán các hóa đơn thẻ tín dụng. Người đồng ký sẽ phải chịu trách nhiệm về các khoản thanh toán bị bỏ lỡ vào tài khoản. Ở tuổi 21, mọi người ở Mỹ có thể đăng ký một mình để có thẻ tín dụng và được chấp thuận mà không cần chứng minh thu nhập đủ. Tuy nhiên, các công ty thẻ tín dụng vẫn có quyền từ chối đề nghị đăng ký do thiếu lịch sử tín dụng hoặc các lý do khác. Trong trường hợp này, một lựa chọn là lấy thẻ tín dụng có bảo đảm, thẻ này dễ mở hơn vì nó ít gây rủi ro hơn cho tổ chức phát hành, tổ chức này giữ một khoản tiền gửi bảo đảm bằng với số tiền hạn mức tín dụng. Nếu cha mẹ lo lắng về việc thêm trẻ làm người dùng được ủy quyền hoặc đồng ký vào tài khoản thẻ tín dụng của trẻ từ 18 đến 20 tuổi, thì một giải pháp thay thế là cho trẻ sử dụng thẻ trả trước hoặc thẻ ghi nợ. Những loại thẻ này có lợi ích là có thể mua hàng mà không cần tiền mặt, nhưng chúng không xuất hiện trên báo cáo tín dụng và không thể làm hỏng lịch sử tín dụng.</w:t>
      </w:r>
    </w:p>
    <w:p w14:paraId="70F39EFE" w14:textId="77777777" w:rsidR="00114C73" w:rsidRPr="00093D67" w:rsidRDefault="00114C73" w:rsidP="00C604EE">
      <w:pPr>
        <w:pStyle w:val="NOR"/>
        <w:rPr>
          <w:sz w:val="28"/>
          <w:szCs w:val="28"/>
        </w:rPr>
      </w:pPr>
      <w:r w:rsidRPr="00093D67">
        <w:rPr>
          <w:sz w:val="28"/>
          <w:szCs w:val="28"/>
        </w:rPr>
        <w:t>Theo luật pháp Canada, một người có thể mở tài khoản ngân hàng ở mọi lứa tuổi, ngay cả khi người đó không có việc làm hoặc không có tiền để đưa vào tài khoản ngay lập tức. Tuy nhiên, người đó phải cung cấp giấy tờ tùy thân hợp lệ. Nếu cá nhân dưới 18 tuổi, thông thường các ngân hàng yêu cầu cha mẹ hoặc người giám hộ cũng phải có tên trên tài khoản. Từ đó, thẻ ghi nợ được sử dụng mà không có quy định về độ tuổi tối thiểu.</w:t>
      </w:r>
    </w:p>
    <w:p w14:paraId="4D276B16" w14:textId="77777777" w:rsidR="00114C73" w:rsidRPr="00093D67" w:rsidRDefault="00114C73" w:rsidP="00C604EE">
      <w:pPr>
        <w:pStyle w:val="NOR"/>
        <w:rPr>
          <w:sz w:val="28"/>
          <w:szCs w:val="28"/>
        </w:rPr>
      </w:pPr>
      <w:r w:rsidRPr="00093D67">
        <w:rPr>
          <w:sz w:val="28"/>
          <w:szCs w:val="28"/>
        </w:rPr>
        <w:t>Tuy nhiên, để có thẻ tín dụng của riêng một cá nhân, họ phải đủ tuổi thành niên trong tỉnh hoặc lãnh thổ cư trú của cá nhân đó. Ở Alberta, đó là 18. Nếu cá nhân dưới 18 tuổi, ngân hàng sẽ yêu cầu cha mẹ hoặc người giám hộ của cá nhân đồng ký tên vào thẻ tín dụng. Thẻ tín dụng là một hợp đồng. Nếu không trả lại tiền thì người đứng tên đồng ký sẽ phải chịu trách nhiệm hoàn trả.</w:t>
      </w:r>
    </w:p>
    <w:p w14:paraId="7C440BB9" w14:textId="77777777" w:rsidR="00114C73" w:rsidRPr="00093D67" w:rsidRDefault="00114C73" w:rsidP="00C604EE">
      <w:pPr>
        <w:pStyle w:val="NOR"/>
        <w:rPr>
          <w:sz w:val="28"/>
          <w:szCs w:val="28"/>
        </w:rPr>
      </w:pPr>
      <w:r w:rsidRPr="00093D67">
        <w:rPr>
          <w:sz w:val="28"/>
          <w:szCs w:val="28"/>
        </w:rPr>
        <w:t xml:space="preserve">Ngoài ra, nếu chưa đạt độ tuổi tối thiểu để có thể sở hữu thẻ tín dụng thông qua sự bảo lãnh của cha mẹ hoặc người giám hộ, với tư cách là chủ thẻ phụ. Tuy nhiên, độ tuổi cũng theo quy định từng bang nhưng thông thường ít nhất phải đạt tối thiểu 13 tuổi. Cũng cần lưu ý rằng người bảo lãnh phải chịu trách nhiệm về thẻ tín dụng của thanh thiếu niên. Mọi khoản thanh toán trễ hạn hoặc số dư chưa thanh toán đều phản ánh lại cho chủ thẻ chính. Tương tự, bất kỳ thói quen chi tiêu kém nào trên thẻ tín dụng của người lớn cũng sẽ phản ánh điểm </w:t>
      </w:r>
      <w:r w:rsidRPr="00093D67">
        <w:rPr>
          <w:sz w:val="28"/>
          <w:szCs w:val="28"/>
        </w:rPr>
        <w:lastRenderedPageBreak/>
        <w:t>tín dụng của trẻ vị thành niên. Đây là cả hai yếu tố quan trọng cần xem xét khi xác định xem chủ thẻ chính có muốn thêm một thanh thiếu niên làm người dùng được ủy quyền vào thẻ tín dụng của mình hay không, nghĩa là cho phép họ sở hữu thẻ phụ hay không?</w:t>
      </w:r>
    </w:p>
    <w:p w14:paraId="5982A527" w14:textId="77777777" w:rsidR="00114C73" w:rsidRPr="00093D67" w:rsidRDefault="00114C73" w:rsidP="00C604EE">
      <w:pPr>
        <w:pStyle w:val="NOR"/>
        <w:rPr>
          <w:sz w:val="28"/>
          <w:szCs w:val="28"/>
        </w:rPr>
      </w:pPr>
      <w:r w:rsidRPr="00093D67">
        <w:rPr>
          <w:sz w:val="28"/>
          <w:szCs w:val="28"/>
        </w:rPr>
        <w:t>Đối với nước Anh, độ tuổi để sở hữu thẻ ngân hàng được đặt ra ở mức tối thiểu để tự mình sở hữu thẻ, còn đối với trường hợp có sự đồng ý của cha mẹ thì độ tuổi tối thiểu không có quy định.</w:t>
      </w:r>
    </w:p>
    <w:p w14:paraId="0406A735" w14:textId="77777777" w:rsidR="00114C73" w:rsidRPr="00093D67" w:rsidRDefault="00114C73" w:rsidP="00C604EE">
      <w:pPr>
        <w:pStyle w:val="NOR"/>
        <w:rPr>
          <w:sz w:val="28"/>
          <w:szCs w:val="28"/>
        </w:rPr>
      </w:pPr>
      <w:r w:rsidRPr="00093D67">
        <w:rPr>
          <w:sz w:val="28"/>
          <w:szCs w:val="28"/>
        </w:rPr>
        <w:t>Tác giả khuyến nghị pháp luật Việt Nam nên quy định cụ thể về vấn đề chứng minh tài chính cá nhân và độ tuổi sử dụng thẻ tín dụng phù hợp hơn. 15 tuổi vẫn chưa phải là độ tuổi hợp lý để chứng minh tài chính của một người độc lập. Cụ thể, nó được sử dụng để trở nên đặc biệt đơn giản đối với những sinh viên chưa tốt nghiệp đại học, để yêu cầu một thẻ tín dụng. Tác giả cho rằng độ tuổi để có thể sở hữu thẻ tín dụng cần phải sửa đổi, dẫn chiếu theo quy định của một số quốc gia phát triển. Như đã nói ở trên là từ 21 tuổi trở lên, tất nhiên nếu dưới 21 tuổi họ có thể chứng minh tài chính cá nhân hoặc đăng ký. là chủ thẻ phụ hoặc có người bảo lãnh để có thể sở hữu thẻ. Tuy nhiên, tác giả khuyến cáo độ tuổi phù hợp để có thẻ tín dụng là từ 22 tuổi trở lên vì 21 tuổi vẫn có thể là sinh viên đại học nên việc để những người này sở hữu thẻ tín dụng mang lại vô số rủi ro cho chính họ, đặc biệt là chi tiêu quá mức trên thẻ tín dụng dẫn đến mất khả năng thanh toán. Tác giả đề xuất pháp luật Việt Nam nên tham khảo pháp luật Hoa Kỳ về vấn đề tuổi của chủ thẻ vì sau nhiều năm thực hiện đã chứng minh rằng luật pháp Hoa Kỳ đã giúp người tiêu dùng trẻ tuổi của nước họ chi tiêu hợp lý hơn và hạn chế mất khả năng thanh toán. “Các nhà bình luận chỉ ra rằng Đạo luật CARD tín dụng năm 2009 đã có một số thành công hạn chế trong việc bảo vệ người tiêu dùng trẻ tuổi. Những phát hiện ban đầu chỉ ra rằng các tổ chức phát hành đã tiếp tục thu hút người tiêu dùng ở độ tuổi đại học qua thư trực tiếp và các phương tiện khác, và các công ty thẻ dường như có mặt liên tục trong và xung quanh các cơ sở giáo dục đại học” .</w:t>
      </w:r>
    </w:p>
    <w:p w14:paraId="0E494E29" w14:textId="77777777" w:rsidR="008135C4" w:rsidRPr="00093D67" w:rsidRDefault="008135C4" w:rsidP="00C604EE">
      <w:pPr>
        <w:pStyle w:val="Heading2"/>
        <w:rPr>
          <w:rFonts w:cs="Times New Roman"/>
          <w:sz w:val="28"/>
          <w:szCs w:val="28"/>
        </w:rPr>
      </w:pPr>
      <w:r w:rsidRPr="00093D67">
        <w:rPr>
          <w:rFonts w:cs="Times New Roman"/>
          <w:sz w:val="28"/>
          <w:szCs w:val="28"/>
        </w:rPr>
        <w:t>3.2.2. Thực trạng pháp luật Việt Nam về hợp đồng phát hành thẻ thanh toán và kiến nghị hoàn thiện</w:t>
      </w:r>
    </w:p>
    <w:p w14:paraId="2D482D53" w14:textId="77777777" w:rsidR="004829E8" w:rsidRPr="00093D67" w:rsidRDefault="004829E8" w:rsidP="00C604EE">
      <w:pPr>
        <w:pStyle w:val="NOR"/>
        <w:rPr>
          <w:sz w:val="28"/>
          <w:szCs w:val="28"/>
        </w:rPr>
      </w:pPr>
      <w:r w:rsidRPr="00093D67">
        <w:rPr>
          <w:sz w:val="28"/>
          <w:szCs w:val="28"/>
        </w:rPr>
        <w:t xml:space="preserve">Cơ sở pháp lý cho quan hệ phát sinh giữa TCPHT và chủ thẻ là dựa trên hợp đồng mở tài khoản và phát hành thẻ. Theo đó, chủ thẻ sẽ được mở một tài khoản đứng tên mình tại TCPHT. Chủ thẻ sẽ được cung cấp một thẻ ngân hàng cùng với mã số PIN dùng để thực hiện thanh toán nhu cầu tiêu dùng của mình tại các ĐVCNT liên kết với TCPHT. Hiện tại, ở Việt Nam, Điều 13 Thông tư 19/2016 / TT-NHNN chỉ quy định những nội dung tối thiểu </w:t>
      </w:r>
      <w:r w:rsidRPr="00093D67">
        <w:rPr>
          <w:sz w:val="28"/>
          <w:szCs w:val="28"/>
        </w:rPr>
        <w:lastRenderedPageBreak/>
        <w:t>mà hợp đồng phát hành và sử dụng thẻ tín dụng phải có, nên còn nhiều nội dung khác được thống nhất giữa tổ chức phát hành thẻ và khách hàng.</w:t>
      </w:r>
    </w:p>
    <w:p w14:paraId="44FF85FF" w14:textId="77777777" w:rsidR="004829E8" w:rsidRPr="00093D67" w:rsidRDefault="004829E8" w:rsidP="00C604EE">
      <w:pPr>
        <w:pStyle w:val="NOR"/>
        <w:rPr>
          <w:sz w:val="28"/>
          <w:szCs w:val="28"/>
        </w:rPr>
      </w:pPr>
      <w:r w:rsidRPr="00093D67">
        <w:rPr>
          <w:sz w:val="28"/>
          <w:szCs w:val="28"/>
        </w:rPr>
        <w:t>Tìm hiểu quy định về hợp đồng phát hành thẻ ở Mỹ cho thấy, Quốc hội Hoa Kỳ đã thông qua the Credit Card Accountability, Responsibility, and Disclosure Act in May 2009 - Đạo luật về trách nhiệm, trách nhiệm và tiết lộ thông tin thẻ tín dụng vào tháng 5 năm 2009 và Tổng thống Barack Obama đã ký thành luật ngay sau đó. Nó có hiệu lực vào năm 2010. Mở rộng dựa trên the Truth in Lending Act (TILA) - Đạo luật Sự thật trong Cho vay (TILA), Đạo luật CARD được thiết kế để bảo vệ người tiêu dùng khỏi các hành vi không công bằng của các tổ chức phát hành thẻ tín dụng. Nó nhằm mục đích loại bỏ hoặc giảm các khoản phí thẻ tín dụng nhất định, giảm thiểu sự thao túng của khách hàng trẻ tuổi và cung cấp thông tin chi tiết hơn về phí cho tất cả người dùng . Trước khi luật được thông qua, ngôn ngữ trong các thỏa thuận thẻ tín dụng thường khá phức tạp và khó hiểu theo nghĩa đen; các điều khoản quan trọng được che giấu trong các loại giấy tờ hợp pháp và thông tin được cung cấp không nhất quán giữa các tổ chức phát hành khác nhau, khiến người tiêu dùng khó có thể so sánh các sản phẩm. Đạo luật này đã làm cho ngôn ngữ, điều khoản và việc tiết lộ các khoản phạt và phí trở nên minh bạch hơn nhiều, cả trong các thỏa thuận thẻ ban đầu và trong các bản sao kê hàng tháng.</w:t>
      </w:r>
    </w:p>
    <w:p w14:paraId="19C44DFF" w14:textId="77777777" w:rsidR="004829E8" w:rsidRPr="00093D67" w:rsidRDefault="004829E8" w:rsidP="00C604EE">
      <w:pPr>
        <w:pStyle w:val="NOR"/>
        <w:rPr>
          <w:sz w:val="28"/>
          <w:szCs w:val="28"/>
        </w:rPr>
      </w:pPr>
      <w:r w:rsidRPr="00093D67">
        <w:rPr>
          <w:sz w:val="28"/>
          <w:szCs w:val="28"/>
        </w:rPr>
        <w:t>Trong pháp luật Canada về thẻ, bên cạnh những nội dung cơ bản cần phải có trong hợp đồng  thì nếu thỏa thuận tín dụng cho thẻ tín dụng được sửa đổi, ngân hàng phải, bằng văn bản và ít nhất là 30 ngày trở lên trước khi sửa đổi có hiệu lực, phải thông báo cho người vay những thay đổi đối với thông tin được yêu cầu tiết lộ trong hợp đồng ban đầu khác hơn bất kỳ thay đổi nào liên quan đến một số nội dung cơ bản quan trọng.</w:t>
      </w:r>
    </w:p>
    <w:p w14:paraId="1AF0F89F" w14:textId="77777777" w:rsidR="004829E8" w:rsidRPr="00093D67" w:rsidRDefault="004829E8" w:rsidP="00C604EE">
      <w:pPr>
        <w:pStyle w:val="NOR"/>
        <w:rPr>
          <w:sz w:val="28"/>
          <w:szCs w:val="28"/>
        </w:rPr>
      </w:pPr>
      <w:r w:rsidRPr="00093D67">
        <w:rPr>
          <w:sz w:val="28"/>
          <w:szCs w:val="28"/>
        </w:rPr>
        <w:t xml:space="preserve">Hợp đồng phát hành và sử dụng thẻ tín dụng có đặc điểm là không cân xứng giữa hai bên, một bên là người bán hàng hóa, cung cấp dịch vụ và một bên là người tiêu dùng. Một bên thường là một tập đoàn rất tinh vi, bên kia - một cá nhân, dễ mắc phải những sai sót trong hành vi khiến chúng ta trở thành con người. “Không có sự can thiệp của pháp luật, người bán sành sỏi thường sẽ khai thác thành kiến hành vi của người tiêu dùng. Bản thân hợp đồng, thường do người bán thiết kế, sẽ được định hình xung quanh những sai lệch có </w:t>
      </w:r>
      <w:r w:rsidRPr="00093D67">
        <w:rPr>
          <w:sz w:val="28"/>
          <w:szCs w:val="28"/>
        </w:rPr>
        <w:lastRenderedPageBreak/>
        <w:t>hệ thống của người tiêu dùng so với tính hợp lý hoàn hảo”</w:t>
      </w:r>
      <w:r w:rsidRPr="00093D67">
        <w:rPr>
          <w:rStyle w:val="FootnoteReference"/>
          <w:sz w:val="28"/>
          <w:szCs w:val="28"/>
        </w:rPr>
        <w:footnoteReference w:id="2"/>
      </w:r>
      <w:r w:rsidRPr="00093D67">
        <w:rPr>
          <w:sz w:val="28"/>
          <w:szCs w:val="28"/>
        </w:rPr>
        <w:t>.</w:t>
      </w:r>
    </w:p>
    <w:p w14:paraId="297E9C18" w14:textId="77777777" w:rsidR="004829E8" w:rsidRPr="00093D67" w:rsidRDefault="004829E8" w:rsidP="00C604EE">
      <w:pPr>
        <w:pStyle w:val="NOR"/>
        <w:rPr>
          <w:sz w:val="28"/>
          <w:szCs w:val="28"/>
        </w:rPr>
      </w:pPr>
      <w:r w:rsidRPr="00093D67">
        <w:rPr>
          <w:sz w:val="28"/>
          <w:szCs w:val="28"/>
        </w:rPr>
        <w:t>Chính vì vậy, khi quy định phát hành thẻ ghi nợ nội địa, mở và sử dụng dịch vụ tài khoản thanh toán (áp dụng cho khách hàng cá nhân), vay vốn cá nhân (nhằm mục đích tiêu dùng) không còn nằm trong Danh mục dịch vụ phải đăng ký hợp đồng theo mẫu, điều kiện giao dịch chung được thông qua, tác giả nhận thấy sẽ phát sinh nhiều rủi ro về phía người tiêu dùng, cụ thể là rủi ro về mặt pháp lý. Tuy nhiên, vấn đề việc yêu cầu đăng ký hợp đồng theo mẫu có phải là nguyên nhân chính hay không?</w:t>
      </w:r>
    </w:p>
    <w:p w14:paraId="7936FE43" w14:textId="77777777" w:rsidR="004829E8" w:rsidRPr="00093D67" w:rsidRDefault="004829E8" w:rsidP="00C604EE">
      <w:pPr>
        <w:pStyle w:val="NOR"/>
        <w:rPr>
          <w:sz w:val="28"/>
          <w:szCs w:val="28"/>
        </w:rPr>
      </w:pPr>
      <w:r w:rsidRPr="00093D67">
        <w:rPr>
          <w:sz w:val="28"/>
          <w:szCs w:val="28"/>
        </w:rPr>
        <w:t>Nhiều nghiên cứu đã tiến hành khảo sát, đọc hiểu nội dung của hợp đồng không phải là yếu tố quyết định cho các khách hàng đặt bút vào ký hợp đồng phát hành thẻ</w:t>
      </w:r>
      <w:r w:rsidRPr="00093D67">
        <w:rPr>
          <w:rStyle w:val="FootnoteReference"/>
          <w:sz w:val="28"/>
          <w:szCs w:val="28"/>
        </w:rPr>
        <w:footnoteReference w:id="3"/>
      </w:r>
      <w:r w:rsidRPr="00093D67">
        <w:rPr>
          <w:sz w:val="28"/>
          <w:szCs w:val="28"/>
        </w:rPr>
        <w:t>. Dựa vào các lý thuyết về hành vi người tiêu dùng</w:t>
      </w:r>
      <w:r w:rsidRPr="00093D67">
        <w:rPr>
          <w:rStyle w:val="FootnoteReference"/>
          <w:sz w:val="28"/>
          <w:szCs w:val="28"/>
        </w:rPr>
        <w:footnoteReference w:id="4"/>
      </w:r>
      <w:r w:rsidRPr="00093D67">
        <w:rPr>
          <w:sz w:val="28"/>
          <w:szCs w:val="28"/>
        </w:rPr>
        <w:t xml:space="preserve"> cho thấy những điều khoản, những quy định khó hiểu, phức tạp trong các văn bản quy phạm pháp luật không phải là cái mà các khách hàng quan tâm, họ cũng không có khả năng đọc và hiểu những khái niệm mang tính chất chuyên môn sau. Và trong nhiều trường hợp, hợp đồng phát hành thẻ với những thuật ngữ chuyên ngành họ cũng chưa kịp đọc. Vấn đề phát sinh việc sử dụng thẻ trong một số trường hợp nó phát sinh từ nhu cầu sử dụng thẻ cấp thiết, chẳng hạn như các nhân viên phải có một tài khoản thẻ nhận thù lao, tiền công lao động, nhiều người có nhu cầu sử dụng tiền trước và trả sau… Trên cơ sở như cầu sử dụng đó, họ tìm kiếm các thông tin liên quan đến sản phẩm, chủ yếu là tìm hiểu về tổ chức phát hành, tên gọi, chức năng…. Thậm chí chức năng của thẻ họ cũng tìm hiểu trên mạng chứ hầu như không đọc qua hợp đồng khi ký kết. Hợp đồng phát hành thẻ sau khi nhận được thẻ họ cũng không còn giữ. Ở đây, tác giả với tư cách là một người sử dụng thẻ, đã trải qua quá trình mở nhiều loại thẻ ở cùng một ngân hàng, hoặc cùng một tính năng thẻ của nhiều ngân hàng khác nhau, có thể nhận định rằng, đọc hợp đồng phát hành thẻ là một hành vi hiếm hoi mà các nhân viên tư vấn phát hành thẻ chuyển cho khách hàng đọc và giải thích cho khách hàng, thậm chí trong một vài trường hợp khách hàng chỉ cần ký vào những chỗ quy định, còn những thông tin cá nhân, nhân viên tư vấn vì chỉ tiêu của mình nên đã rút ngắn quy trình mà có lẽ họ đã được đào tạo.</w:t>
      </w:r>
    </w:p>
    <w:p w14:paraId="4DC53D5C" w14:textId="77777777" w:rsidR="004829E8" w:rsidRPr="00093D67" w:rsidRDefault="004829E8" w:rsidP="00C604EE">
      <w:pPr>
        <w:pStyle w:val="NOR"/>
        <w:rPr>
          <w:sz w:val="28"/>
          <w:szCs w:val="28"/>
        </w:rPr>
      </w:pPr>
      <w:r w:rsidRPr="00093D67">
        <w:rPr>
          <w:sz w:val="28"/>
          <w:szCs w:val="28"/>
        </w:rPr>
        <w:t xml:space="preserve">Liên quan đến các vấn đề đã nêu trong hợp đồng phát hành thẻ, tác giả có một số </w:t>
      </w:r>
      <w:r w:rsidRPr="00093D67">
        <w:rPr>
          <w:sz w:val="28"/>
          <w:szCs w:val="28"/>
        </w:rPr>
        <w:lastRenderedPageBreak/>
        <w:t>khuyến nghị sau:</w:t>
      </w:r>
    </w:p>
    <w:p w14:paraId="22CFD75A" w14:textId="77777777" w:rsidR="004829E8" w:rsidRPr="00093D67" w:rsidRDefault="004829E8" w:rsidP="00C604EE">
      <w:pPr>
        <w:pStyle w:val="NOR"/>
        <w:rPr>
          <w:sz w:val="28"/>
          <w:szCs w:val="28"/>
        </w:rPr>
      </w:pPr>
      <w:r w:rsidRPr="00093D67">
        <w:rPr>
          <w:b/>
          <w:sz w:val="28"/>
          <w:szCs w:val="28"/>
        </w:rPr>
        <w:t>Một là</w:t>
      </w:r>
      <w:r w:rsidRPr="00093D67">
        <w:rPr>
          <w:sz w:val="28"/>
          <w:szCs w:val="28"/>
        </w:rPr>
        <w:t>, tác giả khuyến nghị nên đưa ra những nội dung cơ bản quan trọng, có tính chuyên môn sâu vào sự điều chỉnh chính quy. Nghĩa là, học hỏi kinh nghiệm đã trình bày của Mỹ, Canada phía trên, những nội dung liên quan đến thời điểm tính lãi, phương thức tính lãi cũng như quy định về lãi suất thỏa thuận… phải được luật hóa. Bên cạnh đó, các nội dung liên quan đến nghĩa vụ tài chính của chủ thẻ phải có ràng buộc mức tối đa nếu cần thiết. Hiện nay, có thể nhận thấy rằng việc phát hành và sử dụng thẻ tín dụng áp dụng cho các hình thức hợp đồng do tổ chức phát hành thẻ tạo ra. Nội dung của các mẫu hợp đồng này đều do tổ chức phát hành thẻ quy định, khách hàng chỉ có thể đồng ý hoặc không đồng ý. Trong một số trường hợp, TCPHT đã tự tạo ra các điều khoản gây bất lợi cho khách hàng mà luật chưa dự liệu được. Lấy Shinhan Bank làm ví dụ: khi sử dụng thẻ tín dụng, các tổ chức phát hành thẻ quy định nhiều loại phí như phí thường niên, phí thông báo, phí giao dịch qua SMS, phí khiếu nại và điều tra sự cố, phí yêu cầu xuất hóa đơn giao dịch, phí trả trước trả góp, .. . Tương tự, tại ACB còn có nhiều loại phí khác như phí thay thế thẻ, phí thay đổi hạn mức tín dụng, phí cấp lại mã PIN, phí chênh lệch tỷ giá, phí chuyển đổi hình thức sử dụng thẻ, ... tổ chức phát hành thẻ quy định quá nhiều loại phí bất hợp lý. Ví dụ, phí khiếu nại, điều tra sự cố quy định trong hợp đồng phát hành và sử dụng thẻ tại Ngân hàng Shinhan là khoản phí bất hợp lý khi khách hàng gặp sự cố trong quá trình sử dụng dịch vụ, lỗi không thuộc về khách hàng mà khách hàng phải trả phí khiếu nại.</w:t>
      </w:r>
    </w:p>
    <w:p w14:paraId="1A8564E0" w14:textId="77777777" w:rsidR="004829E8" w:rsidRPr="00093D67" w:rsidRDefault="004829E8" w:rsidP="00C604EE">
      <w:pPr>
        <w:pStyle w:val="NOR"/>
        <w:rPr>
          <w:sz w:val="28"/>
          <w:szCs w:val="28"/>
        </w:rPr>
      </w:pPr>
      <w:r w:rsidRPr="00093D67">
        <w:rPr>
          <w:b/>
          <w:sz w:val="28"/>
          <w:szCs w:val="28"/>
        </w:rPr>
        <w:t>Hai là</w:t>
      </w:r>
      <w:r w:rsidRPr="00093D67">
        <w:rPr>
          <w:sz w:val="28"/>
          <w:szCs w:val="28"/>
        </w:rPr>
        <w:t xml:space="preserve">, xuất phát từ sự khó hiểu của lĩnh vực ngân hàng nói chung và lĩnh vực thẻ nói riêng, mang nhiều yếu tố chuyên ngành, mà thậm chí ngay cả nhiều chuyên gia trong lĩnh vực khác cũng chưa hiểu hết nếu chỉ đọc các quy định mà không nhận được sự giải thích từ nhân viên tư vấn. Do đó, quá trình tư vấn trước khi ký kết hợp đồng cực kỳ quan trọng. Không phải chỉ là công khai nội dung hợp đồng, vấn đề quan trọng là các nội dung trong hợp đồng vận hành như thế nào, chẳng hạn đơn giản là yếu tố lãi suất, tác giả xin phép được bàn tới trong một nội dung khác của luận án, mới là yếu tố quan trọng. Mà yếu tố này trong một số trường hợp gây ra tranh chấp do sự thiếu chuyên môn, nghiệp vụ lẫn đạo đức của nhân viên tư vấn. Chính vì vậy, là một lĩnh vực đặc thù, nên chăng, những tài liệu diễn ra trong quá trình tư vấn, cần phải được quy định là yếu tố bắt buộc, để chứng minh rằng, khi đặt bút ký hợp đồng, chủ thẻ hoàn toàn nhận thức được các nghĩa vụ mà mình phải thực hiện. </w:t>
      </w:r>
    </w:p>
    <w:p w14:paraId="0A7B9C4D" w14:textId="77777777" w:rsidR="004829E8" w:rsidRPr="00093D67" w:rsidRDefault="004829E8" w:rsidP="00C604EE">
      <w:pPr>
        <w:pStyle w:val="NOR"/>
        <w:rPr>
          <w:sz w:val="28"/>
          <w:szCs w:val="28"/>
        </w:rPr>
      </w:pPr>
      <w:r w:rsidRPr="00093D67">
        <w:rPr>
          <w:b/>
          <w:sz w:val="28"/>
          <w:szCs w:val="28"/>
        </w:rPr>
        <w:lastRenderedPageBreak/>
        <w:t>Ba là</w:t>
      </w:r>
      <w:r w:rsidRPr="00093D67">
        <w:rPr>
          <w:sz w:val="28"/>
          <w:szCs w:val="28"/>
        </w:rPr>
        <w:t>, buộc chủ thẻ phải chú ý đến các hợp đồng phát hành thẻ thông qua áp dụng hình thức giao kết khác của chúng. Thay vì chủ thẻ chỉ cần đọc thông tin và ký chấp nhận, thì nên trình bày hợp đồng phát hành thẻ thành các mục lựa chọn. Đặc biệt, liên quan đến các nội dung quan trọng trong hợp đồng như lãi suất, thời điểm tính lãi, phương thức tính lãi, các loại phí áp dụng… thì giao dịch mới thành công. Ngoài ra, chúng ta có thể chuẩn hóa quy định về thời điểm tính lãi, phương thức tính lãi ở văn bản quy phạm pháp luật để chủ thẻ đều được bảo vệ trong chừng mực họ không có đủ kiến thức chuyên môn để hiểu thuật ngữ chuyên ngành.</w:t>
      </w:r>
    </w:p>
    <w:p w14:paraId="4327EEEB" w14:textId="77777777" w:rsidR="004829E8" w:rsidRPr="00093D67" w:rsidRDefault="004829E8" w:rsidP="00C604EE">
      <w:pPr>
        <w:pStyle w:val="NOR"/>
        <w:rPr>
          <w:sz w:val="28"/>
          <w:szCs w:val="28"/>
        </w:rPr>
      </w:pPr>
      <w:r w:rsidRPr="00093D67">
        <w:rPr>
          <w:b/>
          <w:sz w:val="28"/>
          <w:szCs w:val="28"/>
        </w:rPr>
        <w:t>Cuối cùng</w:t>
      </w:r>
      <w:r w:rsidRPr="00093D67">
        <w:rPr>
          <w:sz w:val="28"/>
          <w:szCs w:val="28"/>
        </w:rPr>
        <w:t>, luật cần nâng cao hơn trách nhiệm bằng việc quy định các mức xử phạt đối với hành vi của các TCPHT do thực hiện không đúng nghĩa vụ tư vấn cho chủ thẻ mà dẫn đến thiệt hại. Đồng thời, sẽ không dư thừa nếu pháp luật dân sự bổ sung thêm trách nhiệm bồi thường dân sự của TCPHT trong trường hợp các giao dịch khống liên quan đến thẻ, dẫn đến chủ thẻ phải mất nhiều thời gian để theo đuổi vụ khiến nại.</w:t>
      </w:r>
    </w:p>
    <w:p w14:paraId="6E058902" w14:textId="77777777" w:rsidR="008135C4" w:rsidRPr="00093D67" w:rsidRDefault="008135C4" w:rsidP="00C604EE">
      <w:pPr>
        <w:pStyle w:val="Heading2"/>
        <w:rPr>
          <w:rFonts w:cs="Times New Roman"/>
          <w:sz w:val="28"/>
          <w:szCs w:val="28"/>
        </w:rPr>
      </w:pPr>
      <w:r w:rsidRPr="00093D67">
        <w:rPr>
          <w:rFonts w:cs="Times New Roman"/>
          <w:sz w:val="28"/>
          <w:szCs w:val="28"/>
        </w:rPr>
        <w:t>3.2.3. Thực trạng pháp luật Việt Nam về điểm tín dụng cá nhân, thực tiễn thực hiện và kiến nghị hoàn thiện</w:t>
      </w:r>
    </w:p>
    <w:p w14:paraId="6565F12F" w14:textId="77777777" w:rsidR="004829E8" w:rsidRPr="00093D67" w:rsidRDefault="004829E8" w:rsidP="004829E8">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Hầu hết các nước ở Châu Âu và các quốc gia phát triển nhất Châu Mỹ gồm Mỹ, Anh và Canada, mỗi công dân đều có hệ thống đánh giá điểm tín dụng cá nhân chẳng hạn như hệ thống Credit Scorecards tại liên hiệp Anh hay Small Busiiness Scoring Serviice, CE Score tại Mỹ …. Ở phần trên, tác giả đã trình bày điểm tín dụng là một trong những căn cứ phát hành thẻ, cần thiết phải được nghiên cứu để đem lại hiệu quả thiết thực cho cả hai bên tham gia quan hệ phát hành thẻ tín dụng: bên phát hành thẻ có căn cứ để giảm thiểu rủi ro, còn bên yêu cầu phát hành thẻ có điều kiện tiếp cận thẻ tín dụng phương tiện thanh toán thẻ tín dụng hiện đại với chi phí sử dụng tốt nhất có thể. Do đó, các quy định về những yếu tố cấu thành nên điểm tín dụng cá nhân có vai trò rất quan trọng, giúp cho mỗi chủ thể có thể tận dụng nó phục vụ cho nhu cầu tín dụng của mình. Ở phần tiếp theo tác giả nghiên cứu các yếu tố thiết lập điểm tín dụng cá nhân ở các quốc gia phát triển. Trên cơ sở phân tích các yếu tố này để đưa ra các khuyến nghị cho quy định của Việt Nam.</w:t>
      </w:r>
    </w:p>
    <w:p w14:paraId="12E281CD" w14:textId="77777777" w:rsidR="004829E8" w:rsidRPr="00093D67" w:rsidRDefault="004829E8" w:rsidP="004829E8">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Các yếu tố thiết lập điểm tín dụng ở Anh</w:t>
      </w:r>
    </w:p>
    <w:p w14:paraId="169A5444" w14:textId="77777777" w:rsidR="004829E8" w:rsidRPr="00093D67" w:rsidRDefault="004829E8" w:rsidP="004829E8">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Các yếu tố thiết lập điểm tín dụng ở Hoa Kỳ</w:t>
      </w:r>
    </w:p>
    <w:p w14:paraId="399F706C" w14:textId="77777777" w:rsidR="004829E8" w:rsidRPr="00093D67" w:rsidRDefault="004829E8" w:rsidP="004829E8">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Các yếu tố thiết lập điểm tín dụng ở Canada</w:t>
      </w:r>
    </w:p>
    <w:p w14:paraId="34A8B028" w14:textId="77777777" w:rsidR="004829E8" w:rsidRPr="00093D67" w:rsidRDefault="004829E8" w:rsidP="004829E8">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Các yếu tố thiết lập điểm tín dụng ở Việt Nam</w:t>
      </w:r>
    </w:p>
    <w:p w14:paraId="467ACEF7" w14:textId="77777777" w:rsidR="004152BA" w:rsidRPr="00093D67" w:rsidRDefault="004152BA" w:rsidP="004152BA">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lastRenderedPageBreak/>
        <w:t>Tác giả đề xuất một số nội dung cơ bản cần thiết phải được ghi nhận trong quá trình xây dựng, thiết lập hệ thống tính điểm tín dụng cá nhân như sau:</w:t>
      </w:r>
    </w:p>
    <w:p w14:paraId="7062AACD" w14:textId="77777777" w:rsidR="004152BA" w:rsidRPr="00093D67" w:rsidRDefault="004152BA" w:rsidP="004152BA">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Thứ nhất, mỗi công dân sẽ có một hệ số điểm tín dụng riêng cho mình, cao hay thấp tùy thuộc vào mức độ đánh giá các yếu tố cấu thành điểm tín dụng đã được nêu ở phần trên.</w:t>
      </w:r>
    </w:p>
    <w:p w14:paraId="143F68D8" w14:textId="77777777" w:rsidR="004152BA" w:rsidRPr="00093D67" w:rsidRDefault="004152BA" w:rsidP="004152BA">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Thứ hai, mỗi lần xin cấp tín dụng, bất kỳ cá nhân nào cũng có thể điền đơn trực tuyến xin báo cáo điểm tín dụng cá nhân của mình. Mỗi báo cáo điểm tín dụng cá nhân được cung cấp, người xin điểm tín dụng ngoài việc trả phí còn phải bị trừ 3 điểm. Việc trừ điểm tín dụng nhằm mục đích hạn chế tra soát điểm tín dụng cá nhân liên tục, nhiều lần gây áp lực lên hệ thống.</w:t>
      </w:r>
    </w:p>
    <w:p w14:paraId="5FA5EF5F" w14:textId="77777777" w:rsidR="004152BA" w:rsidRPr="00093D67" w:rsidRDefault="004152BA" w:rsidP="004152BA">
      <w:pPr>
        <w:spacing w:after="0" w:line="360" w:lineRule="auto"/>
        <w:ind w:firstLine="567"/>
        <w:jc w:val="both"/>
        <w:rPr>
          <w:rFonts w:ascii="Times New Roman" w:hAnsi="Times New Roman" w:cs="Times New Roman"/>
          <w:sz w:val="28"/>
          <w:szCs w:val="28"/>
        </w:rPr>
      </w:pPr>
      <w:r w:rsidRPr="00093D67">
        <w:rPr>
          <w:rFonts w:ascii="Times New Roman" w:hAnsi="Times New Roman" w:cs="Times New Roman"/>
          <w:sz w:val="28"/>
          <w:szCs w:val="28"/>
        </w:rPr>
        <w:t>Thứ ba, trường hợp cá nhân chậm thanh toán khoản vay, điểm tín dụng sẽ bị trừ ở mức cao để răn đe, phòng ngừa và nâng cao ý thức tự giác thanh toán dư nợ, ví dụ như: với thang điểm Vantage Score (Hoa Kỳ) từ 300 đến 850 điểm, cá nhân chậm thanh toán khoản vay sẽ bị trừ ở mức 100 – 300 điểm tùy giá trị khoản vay, số tiền trễ hạn thanh toán đồng thời ghi nhận (record) vào hệ thống gọi là Trung tâm tín dụng Chính phủ liên bang (Credit Bureau).</w:t>
      </w:r>
    </w:p>
    <w:p w14:paraId="7BDD0598" w14:textId="77777777" w:rsidR="00727433" w:rsidRPr="00093D67" w:rsidRDefault="00727433" w:rsidP="00C604EE">
      <w:pPr>
        <w:pStyle w:val="Heading1"/>
        <w:rPr>
          <w:sz w:val="28"/>
          <w:szCs w:val="28"/>
        </w:rPr>
      </w:pPr>
      <w:r w:rsidRPr="00093D67">
        <w:rPr>
          <w:sz w:val="28"/>
          <w:szCs w:val="28"/>
        </w:rPr>
        <w:t>3.3. Thực trạng pháp luật Việt Nam trong sử dụng thẻ thanh toán, thực tiễn thực hiện và kiến nghị hoàn thiện</w:t>
      </w:r>
    </w:p>
    <w:p w14:paraId="692CA29C" w14:textId="77777777" w:rsidR="00727433" w:rsidRPr="00093D67" w:rsidRDefault="00727433" w:rsidP="00C604EE">
      <w:pPr>
        <w:pStyle w:val="Heading2"/>
        <w:rPr>
          <w:rFonts w:cs="Times New Roman"/>
          <w:sz w:val="28"/>
          <w:szCs w:val="28"/>
        </w:rPr>
      </w:pPr>
      <w:r w:rsidRPr="00093D67">
        <w:rPr>
          <w:rFonts w:cs="Times New Roman"/>
          <w:sz w:val="28"/>
          <w:szCs w:val="28"/>
        </w:rPr>
        <w:t>3.3.1. Thực trạng pháp luật Việt Nam về rút tiền mặt từ thẻ tín dụng, thực tiễn thực hiện và kiến nghị hoàn thiện</w:t>
      </w:r>
    </w:p>
    <w:p w14:paraId="70672764" w14:textId="77777777" w:rsidR="00E63024" w:rsidRPr="00093D67" w:rsidRDefault="00701246" w:rsidP="00C604EE">
      <w:pPr>
        <w:pStyle w:val="NOR"/>
        <w:rPr>
          <w:color w:val="000000" w:themeColor="text1"/>
          <w:sz w:val="28"/>
          <w:szCs w:val="28"/>
        </w:rPr>
      </w:pPr>
      <w:r w:rsidRPr="00093D67">
        <w:rPr>
          <w:sz w:val="28"/>
          <w:szCs w:val="28"/>
        </w:rPr>
        <w:t>Đối với thẻ ghi nợ, việc rút tiền mặt chỉ là một trong những giao dịch thông thường, chủ thẻ lấy tiền từ tài khoản ngân hàng thông qua thùng thẻ ATM hoặc qua các quầy giao dịch của các ngân hàng. Còn khi chủ thẻ đang cần tiền mặt mà trong tài khoản ngân hàng cũng không còn tiền, cho dù đó là chi phí đột xuất hay mất việc đột ngột, việc đến máy ATM và rút tiền từ thẻ tín dụng của chủ thẻ có vẻ là một giải pháp nhanh chóng. Đây được gọi là rút tiền mặt từ thẻ tín dụng (withdraw money) hay còn gọi là ứng tiền mặt từ thẻ tín dụng (Credit Card Cash Advance)</w:t>
      </w:r>
      <w:r w:rsidRPr="00093D67">
        <w:rPr>
          <w:rStyle w:val="FootnoteReference"/>
          <w:sz w:val="28"/>
          <w:szCs w:val="28"/>
        </w:rPr>
        <w:footnoteReference w:id="5"/>
      </w:r>
      <w:r w:rsidRPr="00093D67">
        <w:rPr>
          <w:sz w:val="28"/>
          <w:szCs w:val="28"/>
        </w:rPr>
        <w:t>.</w:t>
      </w:r>
      <w:r w:rsidRPr="00093D67">
        <w:rPr>
          <w:color w:val="000000" w:themeColor="text1"/>
          <w:sz w:val="28"/>
          <w:szCs w:val="28"/>
        </w:rPr>
        <w:t xml:space="preserve"> Do rút tiền mặt từ thẻ tín dụng là một giao dịch đặc biệt nên ở phần này, tác giả chỉ đề cập đến nội dung liên quan thẻ tín dụng.</w:t>
      </w:r>
      <w:r w:rsidRPr="00093D67">
        <w:rPr>
          <w:sz w:val="28"/>
          <w:szCs w:val="28"/>
        </w:rPr>
        <w:t xml:space="preserve"> </w:t>
      </w:r>
      <w:r w:rsidRPr="00093D67">
        <w:rPr>
          <w:color w:val="000000" w:themeColor="text1"/>
          <w:sz w:val="28"/>
          <w:szCs w:val="28"/>
        </w:rPr>
        <w:t xml:space="preserve">Hãy coi việc rút tiền mặt từ thẻ tín dụng giống như việc sử dụng thẻ tín dụng của chủ thẻ để "mua" tiền mặt hơn là hàng hóa hoặc dịch vụ. Một điểm đáng lưu ý trong phạm vi sử dụng thẻ tín dụng là việc rút tiền mặt theo thỏa thuận giữa chủ thẻ và tổ chức phát hành thẻ. Theo quy định hiện nay, thẻ </w:t>
      </w:r>
      <w:r w:rsidRPr="00093D67">
        <w:rPr>
          <w:color w:val="000000" w:themeColor="text1"/>
          <w:sz w:val="28"/>
          <w:szCs w:val="28"/>
        </w:rPr>
        <w:lastRenderedPageBreak/>
        <w:t>tín dụng được rút tiền mặt tại các máy ATM</w:t>
      </w:r>
      <w:r w:rsidRPr="00093D67">
        <w:rPr>
          <w:rStyle w:val="FootnoteReference"/>
          <w:sz w:val="28"/>
          <w:szCs w:val="28"/>
        </w:rPr>
        <w:footnoteReference w:id="6"/>
      </w:r>
      <w:r w:rsidRPr="00093D67">
        <w:rPr>
          <w:color w:val="000000" w:themeColor="text1"/>
          <w:sz w:val="28"/>
          <w:szCs w:val="28"/>
        </w:rPr>
        <w:t xml:space="preserve"> hoặc tại các đơn vị phát hành thẻ.</w:t>
      </w:r>
    </w:p>
    <w:p w14:paraId="405F16AC" w14:textId="77777777" w:rsidR="00701246" w:rsidRPr="00093D67" w:rsidRDefault="00701246" w:rsidP="00C604EE">
      <w:pPr>
        <w:pStyle w:val="NOR"/>
        <w:rPr>
          <w:color w:val="000000" w:themeColor="text1"/>
          <w:sz w:val="28"/>
          <w:szCs w:val="28"/>
        </w:rPr>
      </w:pPr>
      <w:r w:rsidRPr="00093D67">
        <w:rPr>
          <w:color w:val="000000" w:themeColor="text1"/>
          <w:sz w:val="28"/>
          <w:szCs w:val="28"/>
        </w:rPr>
        <w:t>Rút tiền mặt thẻ tín dụng qua máy POS đã đi ngược lại chức năng của máy. Mỗi một thẻ tín dụng, khách hàng có thể rút tiền mặt với ngân hàng phát hành thẻ theo một hạn mức nhất định tại máy ATM hoặc tại đơn vị phát hành thẻ. Với tính năng thanh toán tiền hàng hóa, dịch vụ, do đó, khi khách hàng rút tiền mặt từ thẻ tín dụng thì thông thường mức phí sẽ rất cao, thông thường là 4% trên số tiền rút và lãi suất sẽ tính ngay tại thời điểm rút. Việc khách hàng đến siêu thị, cửa hàng yêu cầu đơn vị chấp nhận thẻ đó ứng tiền mặt, trong khi đơn vị chấp nhận thẻ thông qua POS gửi thông tin về ngân hàng dưới dạng giao dịch mua bán. Điều này sẽ dẫn tới trường hợp các chủ thẻ dựa vào đó để "lách" quy định, rút nhiều tiền hơn hạn mức cho phép, bởi vì, với nhu cầu rút tiền mặt từ thẻ tín dụng, các tổ chức phát hành thẻ sẽ hạn chế mức rút tối đa, thường là 50% hạn mức thẻ và chịu lãi suất ngay sau khi rút tiền mặt. Theo đó, so với rút tiền tại ATM và quầy giao dịch, rút tiền mặt tại POS có thể mang danh là giao dịch chi tiêu nên khách hàng – chủ thẻ, được rút 100% hạn mức với thời gian miễn lại lên đến 45 ngày hoặc 55 ngày. Thêm vào đó, đơn vị chấp nhận thẻ thường sẽ thỏa thuận với khách hàng mức phí rút tiền tại POS. Mức phí này không khó để so sánh khi khắp nơi, chỉ cần một từ khóa “rút tiền mặt từ thẻ tín dụng”, đã cho ra một kết quả đáng bất ngờ như trên đã đề cập. Do đó, các đơn vị chấp nhận thẻ cạnh tranh và đưa ra các mức phí thấp hơn rất nhiều chỉ từ 1,8-2%, so với phí rút tiền mặt tại các máy ATM.</w:t>
      </w:r>
    </w:p>
    <w:p w14:paraId="1AF59B54" w14:textId="77777777" w:rsidR="00701246" w:rsidRPr="00093D67" w:rsidRDefault="00701246" w:rsidP="00C604EE">
      <w:pPr>
        <w:pStyle w:val="NOR"/>
        <w:rPr>
          <w:color w:val="000000" w:themeColor="text1"/>
          <w:sz w:val="28"/>
          <w:szCs w:val="28"/>
        </w:rPr>
      </w:pPr>
      <w:r w:rsidRPr="00093D67">
        <w:rPr>
          <w:color w:val="000000" w:themeColor="text1"/>
          <w:sz w:val="28"/>
          <w:szCs w:val="28"/>
        </w:rPr>
        <w:t>Để cạnh tranh với dịch vụ rút tiền mặt không chính thống như trên, hiện nay, một số ngân hàng lại đưa ra các tiện tích như rút tiền qua hotline của ngân hàng sẽ giúp chủ thẻ tiết kiệm được nhiều chi phí hơn (chỉ mất 1% phí/tổng số tiền rút so với mức phí 4% khi rút tại cây ATM)</w:t>
      </w:r>
      <w:r w:rsidRPr="00093D67">
        <w:rPr>
          <w:rStyle w:val="FootnoteReference"/>
          <w:sz w:val="28"/>
          <w:szCs w:val="28"/>
        </w:rPr>
        <w:footnoteReference w:id="7"/>
      </w:r>
      <w:r w:rsidRPr="00093D67">
        <w:rPr>
          <w:color w:val="000000" w:themeColor="text1"/>
          <w:sz w:val="28"/>
          <w:szCs w:val="28"/>
        </w:rPr>
        <w:t>. Điều này đã đi ngược lại với bản chất của thẻ tín dụng và tạo thêm nhiều rủi ro mất khả năng thanh toán thẻ tín dụng, dẫn đến làm gia tăng nợ xấu của ngân hàng.</w:t>
      </w:r>
    </w:p>
    <w:p w14:paraId="5B54ACFF" w14:textId="77777777" w:rsidR="00701246" w:rsidRPr="00093D67" w:rsidRDefault="00701246" w:rsidP="00C604EE">
      <w:pPr>
        <w:pStyle w:val="NOR"/>
        <w:rPr>
          <w:color w:val="000000" w:themeColor="text1"/>
          <w:sz w:val="28"/>
          <w:szCs w:val="28"/>
        </w:rPr>
      </w:pPr>
      <w:r w:rsidRPr="00093D67">
        <w:rPr>
          <w:i/>
          <w:color w:val="000000" w:themeColor="text1"/>
          <w:sz w:val="28"/>
          <w:szCs w:val="28"/>
        </w:rPr>
        <w:t>Thứ hai,</w:t>
      </w:r>
      <w:r w:rsidRPr="00093D67">
        <w:rPr>
          <w:color w:val="000000" w:themeColor="text1"/>
          <w:sz w:val="28"/>
          <w:szCs w:val="28"/>
        </w:rPr>
        <w:t xml:space="preserve"> thanh toán thông qua máy POS có nghĩa là một giao dịch mua bán hàng hóa, sử dụng dịch vụ đã vừa được thực hiện. Tuy nhiên, nếu đơn vị chấp nhận thẻ thực hiện dịch vụ rut tiền mặt tại máy POS cho chủ thẻ, mà thực tế là không có bất kỳ giao dịch mua bán hàng hóa, sử dụng dịch vụ nào xảy ra sẽ dẫn đến nhiều rủi ro cho chủ thẻ, cho đơn vị chấp nhận thẻ và cho ngân hàng phát hành thẻ.</w:t>
      </w:r>
    </w:p>
    <w:p w14:paraId="5A7D976A" w14:textId="77777777" w:rsidR="00701246" w:rsidRPr="00093D67" w:rsidRDefault="00701246" w:rsidP="00C604EE">
      <w:pPr>
        <w:pStyle w:val="NOR"/>
        <w:rPr>
          <w:color w:val="000000" w:themeColor="text1"/>
          <w:sz w:val="28"/>
          <w:szCs w:val="28"/>
        </w:rPr>
      </w:pPr>
      <w:r w:rsidRPr="00093D67">
        <w:rPr>
          <w:color w:val="000000" w:themeColor="text1"/>
          <w:sz w:val="28"/>
          <w:szCs w:val="28"/>
        </w:rPr>
        <w:lastRenderedPageBreak/>
        <w:t>Đối với chủ thẻ, rủi ro này sẽ dễ dàng nhận thấy</w:t>
      </w:r>
      <w:r w:rsidRPr="00093D67">
        <w:rPr>
          <w:sz w:val="28"/>
          <w:szCs w:val="28"/>
        </w:rPr>
        <w:t xml:space="preserve"> </w:t>
      </w:r>
      <w:r w:rsidRPr="00093D67">
        <w:rPr>
          <w:color w:val="000000" w:themeColor="text1"/>
          <w:sz w:val="28"/>
          <w:szCs w:val="28"/>
        </w:rPr>
        <w:t>với việc rút tiền quá dễ dàng qua POS, cho bất kỳ chi tiêu nào mà không phải là việc mua hàng hóa hoặc sử dụng dịch vụ, mức phí thấp hơn rất nhiều so với rút tại ATM thì sẽ dẫn đến tình trạng không ít chủ thẻ rút tiền quá nhiều, có khả năng sử dụng các khoản tiền này vào các giao dịch bất hợp pháp, điều này có thể đua họ rơi vào vòng xoáy nợ nần trong khi thu nhập trong tương lai đôi khi không thể cán đáng nổi. Điều này hoàn toàn có thể xảy ra khi hạn mức cấp tín dụng cho một cá nhân không có tài sản bảo đảm là 500 triệu đồng</w:t>
      </w:r>
      <w:r w:rsidRPr="00093D67">
        <w:rPr>
          <w:rStyle w:val="FootnoteReference"/>
          <w:sz w:val="28"/>
          <w:szCs w:val="28"/>
        </w:rPr>
        <w:footnoteReference w:id="8"/>
      </w:r>
      <w:r w:rsidRPr="00093D67">
        <w:rPr>
          <w:color w:val="000000" w:themeColor="text1"/>
          <w:sz w:val="28"/>
          <w:szCs w:val="28"/>
        </w:rPr>
        <w:t>, một số tiền cũng không quá nhỏ so với thu nhập của người lao động Việt Nam. Năm 2018, thu nhập bình quân một người một tháng ước tính đạt 3,76 triệu đồng (tăng 660 nghìn đồng so với năm 2016)</w:t>
      </w:r>
      <w:r w:rsidRPr="00093D67">
        <w:rPr>
          <w:rStyle w:val="FootnoteReference"/>
          <w:sz w:val="28"/>
          <w:szCs w:val="28"/>
        </w:rPr>
        <w:footnoteReference w:id="9"/>
      </w:r>
    </w:p>
    <w:p w14:paraId="1F26A31D" w14:textId="77777777" w:rsidR="00701246" w:rsidRPr="00093D67" w:rsidRDefault="00701246" w:rsidP="00C604EE">
      <w:pPr>
        <w:pStyle w:val="NOR"/>
        <w:rPr>
          <w:color w:val="000000" w:themeColor="text1"/>
          <w:sz w:val="28"/>
          <w:szCs w:val="28"/>
        </w:rPr>
      </w:pPr>
      <w:r w:rsidRPr="00093D67">
        <w:rPr>
          <w:color w:val="000000" w:themeColor="text1"/>
          <w:sz w:val="28"/>
          <w:szCs w:val="28"/>
        </w:rPr>
        <w:t>Ngoài ra, tốc độ phát triển thẻ tín dụng ngày càng cao, một người có thể cùng lúc sở hữu nhiều thẻ tín dụng của nhiều tổ chức phát hành thẻ khác nhau và một số ngân hàng có các điều kiện mở thẻ tín dụng cực kỳ dễ dàng, ví dụ như mở thẻ và cấp hạn mức tín dụng dựa vào thẻ tín dụng của ngân hàng khác mà người xin mở thẻ đang sử dụng. Điều này dẫn đến tình trạng, một cá nhân có thể có hạn mức tín dụng cao gấp nhiều lần so với thu nhập, và việc rút tiền mặt dễ dàng và phí thấp (so với rút tại máy ATM) thì nguy cơ vỡ nợ sẽ có thể xảy ra.</w:t>
      </w:r>
    </w:p>
    <w:p w14:paraId="284C4EB4" w14:textId="77777777" w:rsidR="00701246" w:rsidRPr="00093D67" w:rsidRDefault="00701246" w:rsidP="00C604EE">
      <w:pPr>
        <w:pStyle w:val="NOR"/>
        <w:rPr>
          <w:rFonts w:eastAsia="Times New Roman"/>
          <w:color w:val="000000" w:themeColor="text1"/>
          <w:sz w:val="28"/>
          <w:szCs w:val="28"/>
        </w:rPr>
      </w:pPr>
      <w:r w:rsidRPr="00093D67">
        <w:rPr>
          <w:color w:val="000000" w:themeColor="text1"/>
          <w:sz w:val="28"/>
          <w:szCs w:val="28"/>
        </w:rPr>
        <w:t xml:space="preserve">Đối với đơn vị chấp nhận thẻ, khi cho phép chủ thẻ quẹt thẻ tại máy POS và nhận tiền mặt, thì giao dịch này không phải là giao dịch mua bán hàng hóa, dịch vụ. Tuy nhiên, chúng ta cần phải hiểu là, giao dịch tại máy POS chỉ là một phương thức thanh toán cho một giao dịch mua bán hàng hóa, cung ứng dịch vụ của đơn vị chấp nhận thanh toán thẻ. Nghĩa là, quy định </w:t>
      </w:r>
      <w:r w:rsidRPr="00093D67">
        <w:rPr>
          <w:rFonts w:eastAsia="Times New Roman"/>
          <w:color w:val="000000" w:themeColor="text1"/>
          <w:sz w:val="28"/>
          <w:szCs w:val="28"/>
        </w:rPr>
        <w:t>cấm t</w:t>
      </w:r>
      <w:r w:rsidRPr="00093D67">
        <w:rPr>
          <w:rFonts w:eastAsia="Times New Roman"/>
          <w:color w:val="000000" w:themeColor="text1"/>
          <w:sz w:val="28"/>
          <w:szCs w:val="28"/>
          <w:lang w:val="vi-VN"/>
        </w:rPr>
        <w:t xml:space="preserve">hực hiện giao dịch thẻ gian lận, giả mạo; giao dịch khống tại </w:t>
      </w:r>
      <w:r w:rsidRPr="00093D67">
        <w:rPr>
          <w:rFonts w:eastAsia="Times New Roman"/>
          <w:color w:val="000000" w:themeColor="text1"/>
          <w:sz w:val="28"/>
          <w:szCs w:val="28"/>
        </w:rPr>
        <w:t>đơn vị chấp nhận thẻ</w:t>
      </w:r>
      <w:r w:rsidRPr="00093D67">
        <w:rPr>
          <w:rFonts w:eastAsia="Times New Roman"/>
          <w:color w:val="000000" w:themeColor="text1"/>
          <w:sz w:val="28"/>
          <w:szCs w:val="28"/>
          <w:lang w:val="vi-VN"/>
        </w:rPr>
        <w:t xml:space="preserve"> (không phát sinh việc mua bán hàng hóa và cung ứng dịch vụ)</w:t>
      </w:r>
      <w:r w:rsidRPr="00093D67">
        <w:rPr>
          <w:rStyle w:val="FootnoteReference"/>
          <w:rFonts w:eastAsia="Times New Roman"/>
          <w:sz w:val="28"/>
          <w:szCs w:val="28"/>
          <w:lang w:val="vi-VN"/>
        </w:rPr>
        <w:footnoteReference w:id="10"/>
      </w:r>
      <w:r w:rsidRPr="00093D67">
        <w:rPr>
          <w:rFonts w:eastAsia="Times New Roman"/>
          <w:color w:val="000000" w:themeColor="text1"/>
          <w:sz w:val="28"/>
          <w:szCs w:val="28"/>
        </w:rPr>
        <w:t>, đã được bổ sung thành quy định cấm “</w:t>
      </w:r>
      <w:r w:rsidRPr="00093D67">
        <w:rPr>
          <w:color w:val="000000" w:themeColor="text1"/>
          <w:sz w:val="28"/>
          <w:szCs w:val="28"/>
          <w:shd w:val="clear" w:color="auto" w:fill="FFFFFF"/>
        </w:rPr>
        <w:t>thực hiện, tổ chức thực hiện hoặc tạo điều kiện để người khác thực hiện các hành vi giao dịch thẻ gian lận, giả mạo; giao dịch thanh toán khống tại ĐVCNT (không phát sinh việc mua bán hàng hóa và cung ứng dịch vụ).”</w:t>
      </w:r>
      <w:r w:rsidRPr="00093D67">
        <w:rPr>
          <w:rStyle w:val="FootnoteReference"/>
          <w:sz w:val="28"/>
          <w:szCs w:val="28"/>
          <w:shd w:val="clear" w:color="auto" w:fill="FFFFFF"/>
        </w:rPr>
        <w:footnoteReference w:id="11"/>
      </w:r>
      <w:r w:rsidRPr="00093D67">
        <w:rPr>
          <w:rFonts w:eastAsia="Times New Roman"/>
          <w:color w:val="000000" w:themeColor="text1"/>
          <w:sz w:val="28"/>
          <w:szCs w:val="28"/>
        </w:rPr>
        <w:t xml:space="preserve"> đã xảy ra.</w:t>
      </w:r>
    </w:p>
    <w:p w14:paraId="12740797" w14:textId="77777777" w:rsidR="00701246" w:rsidRPr="00093D67" w:rsidRDefault="00701246" w:rsidP="00C604EE">
      <w:pPr>
        <w:pStyle w:val="NOR"/>
        <w:rPr>
          <w:color w:val="000000" w:themeColor="text1"/>
          <w:sz w:val="28"/>
          <w:szCs w:val="28"/>
        </w:rPr>
      </w:pPr>
      <w:r w:rsidRPr="00093D67">
        <w:rPr>
          <w:rFonts w:eastAsia="Times New Roman"/>
          <w:color w:val="000000" w:themeColor="text1"/>
          <w:sz w:val="28"/>
          <w:szCs w:val="28"/>
        </w:rPr>
        <w:t>Song song đó, hành vi giao dịch khống này cũng đã vi phạm pháp l</w:t>
      </w:r>
      <w:r w:rsidRPr="00093D67">
        <w:rPr>
          <w:color w:val="000000" w:themeColor="text1"/>
          <w:sz w:val="28"/>
          <w:szCs w:val="28"/>
        </w:rPr>
        <w:t xml:space="preserve">uật về kế toán. Đồng nghĩa đó là khả năng rất lớn về gian lận trong việc nộp thuế đối với đơn vị chấp nhận thẻ. Bởi lẽ, khi cung ứng hàng hóa, dịch vụ, đơn vị chấp nhận thẻ phải xuất hóa đơn cho các giao </w:t>
      </w:r>
      <w:r w:rsidRPr="00093D67">
        <w:rPr>
          <w:color w:val="000000" w:themeColor="text1"/>
          <w:sz w:val="28"/>
          <w:szCs w:val="28"/>
        </w:rPr>
        <w:lastRenderedPageBreak/>
        <w:t>dịch mua bán này. Khi cho phép chủ thẻ rút tiền dưới dạng thanh toán các gao dịch mua bán, đơn vị chấp nhận thẻ đã khai khống hóa đơn, khai sai về nội dung của hóa đơn về thông tin của các hàng hóa, dịch vụ kèm theo mà không có sự kiện mua bán hàng hóa trên thực tế. Điều này đã vi phạm quy định tại điều 203</w:t>
      </w:r>
      <w:r w:rsidRPr="00093D67">
        <w:rPr>
          <w:rStyle w:val="FootnoteReference"/>
          <w:sz w:val="28"/>
          <w:szCs w:val="28"/>
        </w:rPr>
        <w:footnoteReference w:id="12"/>
      </w:r>
      <w:r w:rsidRPr="00093D67">
        <w:rPr>
          <w:color w:val="000000" w:themeColor="text1"/>
          <w:sz w:val="28"/>
          <w:szCs w:val="28"/>
        </w:rPr>
        <w:t xml:space="preserve"> Bộ luật hình sự năm 2015, đã được sửa đổi bổ sung năm 2017.</w:t>
      </w:r>
    </w:p>
    <w:p w14:paraId="0853E82D" w14:textId="77777777" w:rsidR="00C9124D" w:rsidRPr="00093D67" w:rsidRDefault="00C9124D" w:rsidP="00C604EE">
      <w:pPr>
        <w:pStyle w:val="Heading2"/>
        <w:rPr>
          <w:rFonts w:cs="Times New Roman"/>
          <w:sz w:val="28"/>
          <w:szCs w:val="28"/>
        </w:rPr>
      </w:pPr>
      <w:r w:rsidRPr="00093D67">
        <w:rPr>
          <w:rFonts w:cs="Times New Roman"/>
          <w:sz w:val="28"/>
          <w:szCs w:val="28"/>
        </w:rPr>
        <w:t>3.3.2. Thực trạng pháp luật Việt Nam về lãi suất trong sử dụng thẻ tín dụng, thực tiễn thực hiện và kiến nghị hoàn thiện</w:t>
      </w:r>
    </w:p>
    <w:p w14:paraId="15FEC24B" w14:textId="77777777" w:rsidR="00701246" w:rsidRPr="00093D67" w:rsidRDefault="00103659" w:rsidP="00AB7B69">
      <w:pPr>
        <w:spacing w:after="0" w:line="360" w:lineRule="auto"/>
        <w:ind w:firstLine="567"/>
        <w:jc w:val="both"/>
        <w:rPr>
          <w:rFonts w:ascii="Times New Roman" w:hAnsi="Times New Roman" w:cs="Times New Roman"/>
          <w:color w:val="000000" w:themeColor="text1"/>
          <w:sz w:val="28"/>
          <w:szCs w:val="28"/>
        </w:rPr>
      </w:pPr>
      <w:r w:rsidRPr="00093D67">
        <w:rPr>
          <w:rFonts w:ascii="Times New Roman" w:hAnsi="Times New Roman" w:cs="Times New Roman"/>
          <w:color w:val="000000" w:themeColor="text1"/>
          <w:sz w:val="28"/>
          <w:szCs w:val="28"/>
        </w:rPr>
        <w:t>L</w:t>
      </w:r>
      <w:r w:rsidR="00AB7B69" w:rsidRPr="00093D67">
        <w:rPr>
          <w:rFonts w:ascii="Times New Roman" w:hAnsi="Times New Roman" w:cs="Times New Roman"/>
          <w:color w:val="000000" w:themeColor="text1"/>
          <w:sz w:val="28"/>
          <w:szCs w:val="28"/>
        </w:rPr>
        <w:t>ãi suất thẻ tín dụng là khái niệm dùng để chỉ mức lãi suất mà chủ thẻ tín dụng phải chịu khi thanh toán chậm khoản dư nợ thẻ tín dụng của tháng kề trước.</w:t>
      </w:r>
    </w:p>
    <w:p w14:paraId="697076B5" w14:textId="77777777" w:rsidR="00EC4AF1" w:rsidRPr="00093D67" w:rsidRDefault="00EC4AF1" w:rsidP="00EC4AF1">
      <w:pPr>
        <w:spacing w:after="0" w:line="360" w:lineRule="auto"/>
        <w:ind w:firstLine="567"/>
        <w:jc w:val="both"/>
        <w:rPr>
          <w:rFonts w:ascii="Times New Roman" w:hAnsi="Times New Roman" w:cs="Times New Roman"/>
          <w:color w:val="000000" w:themeColor="text1"/>
          <w:sz w:val="28"/>
          <w:szCs w:val="28"/>
          <w:lang w:val="vi-VN"/>
        </w:rPr>
      </w:pPr>
      <w:r w:rsidRPr="00093D67">
        <w:rPr>
          <w:rFonts w:ascii="Times New Roman" w:hAnsi="Times New Roman" w:cs="Times New Roman"/>
          <w:color w:val="000000" w:themeColor="text1"/>
          <w:sz w:val="28"/>
          <w:szCs w:val="28"/>
          <w:lang w:val="vi-VN"/>
        </w:rPr>
        <w:t>Biết được cách tính lãi suất thẻ tín dụng này là điều cực kỳ cần thiết nếu chủ không muốn ôm đống nợ nần mà chẳng hiểu chuyện gì đã xảy ra. Cách tính này không những phúc tạp mà nó còn rất bất lợi cho những ai không thể thanh toán trong thời gian miễn lãi. Nếu hiểu được bản chất của thẻ tín dụng thì chủ thẻ mới tránh được nguy cơ trở thành con nợ của các tổ chức phát hành thẻ với mức lãi suất thẻ tín dụng có thể nói là không hề nhỏ so với các hình thức vay có tài sản bảo đảm khác.</w:t>
      </w:r>
    </w:p>
    <w:p w14:paraId="1A86F830" w14:textId="77777777" w:rsidR="00EC4AF1" w:rsidRPr="00093D67" w:rsidRDefault="00EC4AF1" w:rsidP="00EC4AF1">
      <w:pPr>
        <w:spacing w:after="0" w:line="360" w:lineRule="auto"/>
        <w:ind w:firstLine="567"/>
        <w:jc w:val="both"/>
        <w:rPr>
          <w:rFonts w:ascii="Times New Roman" w:hAnsi="Times New Roman" w:cs="Times New Roman"/>
          <w:color w:val="000000" w:themeColor="text1"/>
          <w:sz w:val="28"/>
          <w:szCs w:val="28"/>
        </w:rPr>
      </w:pPr>
      <w:r w:rsidRPr="00093D67">
        <w:rPr>
          <w:rFonts w:ascii="Times New Roman" w:hAnsi="Times New Roman" w:cs="Times New Roman"/>
          <w:color w:val="000000" w:themeColor="text1"/>
          <w:sz w:val="28"/>
          <w:szCs w:val="28"/>
          <w:lang w:val="vi-VN"/>
        </w:rPr>
        <w:t>Bên cạnh cách tính lãi suất thẻ tín dụng quá phức tạp, ngay cả chính bản thân tác giả, dù chuyên ngành song song với Luật là Tài chính mà khi đọc hợp đồng cũng chưa hình dung ra mình sẽ bị tính như thế nào cho tới khi thực tế chiêm nghiệm, thì vấn đề lãi suất trong một thời gian dài vẫn gây tranh cãi trong việc có xung đột pháp luật giữa Bộ luật dân sự 2015 quy định về lãi suất tối đa không quá 20%/ năm</w:t>
      </w:r>
      <w:r w:rsidRPr="00093D67">
        <w:rPr>
          <w:rStyle w:val="FootnoteReference"/>
          <w:rFonts w:ascii="Times New Roman" w:hAnsi="Times New Roman" w:cs="Times New Roman"/>
          <w:sz w:val="28"/>
          <w:szCs w:val="28"/>
          <w:lang w:val="vi-VN"/>
        </w:rPr>
        <w:footnoteReference w:id="13"/>
      </w:r>
      <w:r w:rsidRPr="00093D67">
        <w:rPr>
          <w:rFonts w:ascii="Times New Roman" w:hAnsi="Times New Roman" w:cs="Times New Roman"/>
          <w:color w:val="000000" w:themeColor="text1"/>
          <w:sz w:val="28"/>
          <w:szCs w:val="28"/>
          <w:lang w:val="vi-VN"/>
        </w:rPr>
        <w:t xml:space="preserve"> với việc các tổ chức tín dụng được phép thỏa thuận với khách hàng theo quy định của Luật các tổ chức tín dụng 2010</w:t>
      </w:r>
      <w:r w:rsidRPr="00093D67">
        <w:rPr>
          <w:rFonts w:ascii="Times New Roman" w:hAnsi="Times New Roman" w:cs="Times New Roman"/>
          <w:color w:val="000000" w:themeColor="text1"/>
          <w:sz w:val="28"/>
          <w:szCs w:val="28"/>
        </w:rPr>
        <w:t xml:space="preserve">. cho dù đã có văn bản hướng dẫn lãi suất nhưng hiện nay lãi suất vẫn khác nhau ở nhiều lĩnh vực khác nhau. </w:t>
      </w:r>
      <w:r w:rsidRPr="00093D67">
        <w:rPr>
          <w:rFonts w:ascii="Times New Roman" w:hAnsi="Times New Roman" w:cs="Times New Roman"/>
          <w:color w:val="000000" w:themeColor="text1"/>
          <w:sz w:val="28"/>
          <w:szCs w:val="28"/>
          <w:lang w:val="vi-VN"/>
        </w:rPr>
        <w:t>Do đó, rất cần có một quy định thống nhất nhằm tránh trường hợp lúng túng trong áp dụng điều 201 Bộ luật hình sự 2015 về tội cho vay lãi nặng trong giao dịch dân sự</w:t>
      </w:r>
      <w:r w:rsidRPr="00093D67">
        <w:rPr>
          <w:rFonts w:ascii="Times New Roman" w:hAnsi="Times New Roman" w:cs="Times New Roman"/>
          <w:color w:val="000000" w:themeColor="text1"/>
          <w:sz w:val="28"/>
          <w:szCs w:val="28"/>
        </w:rPr>
        <w:t>.</w:t>
      </w:r>
    </w:p>
    <w:p w14:paraId="46EC1BA2" w14:textId="77777777" w:rsidR="00103659" w:rsidRPr="00093D67" w:rsidRDefault="00EC4AF1" w:rsidP="00EC4AF1">
      <w:pPr>
        <w:spacing w:after="0" w:line="360" w:lineRule="auto"/>
        <w:ind w:firstLine="567"/>
        <w:jc w:val="both"/>
        <w:rPr>
          <w:rFonts w:ascii="Times New Roman" w:hAnsi="Times New Roman" w:cs="Times New Roman"/>
          <w:color w:val="000000" w:themeColor="text1"/>
          <w:sz w:val="28"/>
          <w:szCs w:val="28"/>
        </w:rPr>
      </w:pPr>
      <w:r w:rsidRPr="00093D67">
        <w:rPr>
          <w:rFonts w:ascii="Times New Roman" w:hAnsi="Times New Roman" w:cs="Times New Roman"/>
          <w:color w:val="000000" w:themeColor="text1"/>
          <w:sz w:val="28"/>
          <w:szCs w:val="28"/>
          <w:lang w:val="vi-VN"/>
        </w:rPr>
        <w:t>Vấn đề lãi suất tín dụng thẻ nên được quy định với đặc thù riêng. Hầu hết các nước trên thế giới cũng như trong khu vực đều quy định lãi suất tín dụng thẻ cao hơn hẳn lãi suất đối với những khoản tín dụng thông thường nhằm bù đắp cho ngân hàng khi đã phải dành các ưu đãi cho khách hàng nếu trả nợ đúng hạn.</w:t>
      </w:r>
      <w:r w:rsidRPr="00093D67">
        <w:rPr>
          <w:rFonts w:ascii="Times New Roman" w:hAnsi="Times New Roman" w:cs="Times New Roman"/>
          <w:color w:val="000000" w:themeColor="text1"/>
          <w:sz w:val="28"/>
          <w:szCs w:val="28"/>
        </w:rPr>
        <w:t xml:space="preserve"> Tuy lãi suất thẻ tín dụng được thường cao hơn các loại cho vay thông thường nhưng các nhà làm luật cũng nhanh chóng nhận ra những </w:t>
      </w:r>
      <w:r w:rsidRPr="00093D67">
        <w:rPr>
          <w:rFonts w:ascii="Times New Roman" w:hAnsi="Times New Roman" w:cs="Times New Roman"/>
          <w:color w:val="000000" w:themeColor="text1"/>
          <w:sz w:val="28"/>
          <w:szCs w:val="28"/>
        </w:rPr>
        <w:lastRenderedPageBreak/>
        <w:t>bất lợi mà người tiêu dùng phải gánh chịu đối với sản phẩm cấp tín dụng đặc thù này.</w:t>
      </w:r>
    </w:p>
    <w:p w14:paraId="6AECF9A7" w14:textId="77777777" w:rsidR="00701246" w:rsidRPr="00093D67" w:rsidRDefault="00DD0A73" w:rsidP="00DD0A73">
      <w:pPr>
        <w:spacing w:after="0" w:line="360" w:lineRule="auto"/>
        <w:ind w:firstLine="709"/>
        <w:jc w:val="center"/>
        <w:rPr>
          <w:rFonts w:ascii="Times New Roman" w:hAnsi="Times New Roman" w:cs="Times New Roman"/>
          <w:b/>
          <w:sz w:val="28"/>
          <w:szCs w:val="28"/>
        </w:rPr>
      </w:pPr>
      <w:r w:rsidRPr="00093D67">
        <w:rPr>
          <w:rFonts w:ascii="Times New Roman" w:hAnsi="Times New Roman" w:cs="Times New Roman"/>
          <w:b/>
          <w:sz w:val="28"/>
          <w:szCs w:val="28"/>
        </w:rPr>
        <w:t>Tóm tắ</w:t>
      </w:r>
      <w:r w:rsidR="0049264C" w:rsidRPr="00093D67">
        <w:rPr>
          <w:rFonts w:ascii="Times New Roman" w:hAnsi="Times New Roman" w:cs="Times New Roman"/>
          <w:b/>
          <w:sz w:val="28"/>
          <w:szCs w:val="28"/>
        </w:rPr>
        <w:t>t chương 3</w:t>
      </w:r>
    </w:p>
    <w:p w14:paraId="203279C6" w14:textId="77777777" w:rsidR="0049264C" w:rsidRPr="00093D67" w:rsidRDefault="0049264C" w:rsidP="00C604EE">
      <w:pPr>
        <w:pStyle w:val="NOR"/>
        <w:rPr>
          <w:sz w:val="28"/>
          <w:szCs w:val="28"/>
        </w:rPr>
      </w:pPr>
      <w:r w:rsidRPr="00093D67">
        <w:rPr>
          <w:sz w:val="28"/>
          <w:szCs w:val="28"/>
        </w:rPr>
        <w:t xml:space="preserve">Hoạt động thẻ bao gồm nhiều hoạt động nối tiếp nhau, trong đó, phát hành thẻ là khâu đầu tiên làm xuất hiện tấm thẻ thuộc về một chủ sở hữu nào đó. Nghĩa là, để giảm thiểu các rủi ro liên quan thanh toán thẻ thì pháp luật cần phải nhìn thấy được những vấn đề pháp lý có liên quan để điều chỉnh cho phù hợp. </w:t>
      </w:r>
    </w:p>
    <w:p w14:paraId="4B766F61" w14:textId="77777777" w:rsidR="0049264C" w:rsidRPr="00093D67" w:rsidRDefault="0049264C" w:rsidP="00C604EE">
      <w:pPr>
        <w:pStyle w:val="NOR"/>
        <w:rPr>
          <w:sz w:val="28"/>
          <w:szCs w:val="28"/>
        </w:rPr>
      </w:pPr>
      <w:r w:rsidRPr="00093D67">
        <w:rPr>
          <w:sz w:val="28"/>
          <w:szCs w:val="28"/>
        </w:rPr>
        <w:t>Chương 3 của luận án đã phân tích những điều kiện sử dụng thẻ đối với khách hàng là cá nhân, trên cơ sở tham khảo các quy định của các quốc gia tiên tiến, những nghiên cứu khảo sát của họ để từ đó tác giả đưa ra các khuyến nghị cụ thể cho pháp luật Việt Nam. Một trong những điều kiện đó là độ tuổi. Ở Việt Nam hiện nay, pháp luật quy định độ tuổi sở hữu thẻ từ rất sớm. Nhưng, với đặc trưng pháp lý của mình, sớm không đồng nghĩa với thuận lợi mà khả năng sẽ phát sinh rủi ro. Cho nên, tác giả đề xuất thay đổi độ tuổi cho phù hợp với các nước phát triển, trên cơ sở đã có thực tế kiểm nghiệm.</w:t>
      </w:r>
    </w:p>
    <w:p w14:paraId="199BBCE6" w14:textId="77777777" w:rsidR="0049264C" w:rsidRPr="00093D67" w:rsidRDefault="0049264C" w:rsidP="00C604EE">
      <w:pPr>
        <w:pStyle w:val="NOR"/>
        <w:rPr>
          <w:sz w:val="28"/>
          <w:szCs w:val="28"/>
        </w:rPr>
      </w:pPr>
      <w:r w:rsidRPr="00093D67">
        <w:rPr>
          <w:sz w:val="28"/>
          <w:szCs w:val="28"/>
        </w:rPr>
        <w:t>Một trong những vấn đề quan trọng nữa trong quá trình phát hành thẻ ngân hàng, đó là hợp đồng phát hành thẻ. Hợp đồng này cùng với thời gian pháp luật điều chỉnh cũng có những thay đổi cho phù hợp. Tuy nhiên, độ tương xứng của các quy định pháp luật hiện nay thì vẫn chưa thể hiện được vai trò của hợp đồng. Chính vì vậy, tác giả cũng có những đề xuất sửa đổi cho hiệu quả.</w:t>
      </w:r>
    </w:p>
    <w:p w14:paraId="06AA832C" w14:textId="77777777" w:rsidR="0049264C" w:rsidRPr="00093D67" w:rsidRDefault="0049264C" w:rsidP="00C604EE">
      <w:pPr>
        <w:pStyle w:val="NOR"/>
        <w:rPr>
          <w:sz w:val="28"/>
          <w:szCs w:val="28"/>
        </w:rPr>
      </w:pPr>
      <w:r w:rsidRPr="00093D67">
        <w:rPr>
          <w:sz w:val="28"/>
          <w:szCs w:val="28"/>
        </w:rPr>
        <w:t>Một trong những căn cứ phát hành thẻ đó là căn cứ vào điểm tín dụng. Ở các quốc gia phát triển, điểm tín dụng có thể nói là một yếu tố sống còn gắn với mỗi cá nhân, họ có ý thức bảo vệ con số điểm tín dụng này. Nhưng tại Việt Nam, điểm số này dường như còn quá xa lạ với người dân và quy định này trên thực tế cơ bản cũng không là căn cứ chính để các tổ chức phát hành thẻ dựa vào đó cấp tín dụng cho cá nhân. Chính vì vậy, NCS đề xuất phải có một hệ thống tính điểm tín dụng áp dụng cho toàn hệ thống các tổ chức tín dụng, giúp cho việc sử dụng nguồn lực một cách hiệu quả, tránh lãng phí. Quá trình tiếp theo sau khi thủ tục phát hành thẻ hoàn thành đó là các chủ thẻ tiến hành sử dụng. Quá trình sử dụng này cũng phát sinh nhiều vấn đề pháp lý. Chính vì vậy, chương 4 này tác giả đánh giá các quy định của pháp luật điều chỉnh các quan hệ phát sinh trong khâu sử dụng của hoạt động thẻ ngân hàng.</w:t>
      </w:r>
    </w:p>
    <w:p w14:paraId="5676EAA0" w14:textId="77777777" w:rsidR="0049264C" w:rsidRPr="00093D67" w:rsidRDefault="0049264C" w:rsidP="00C604EE">
      <w:pPr>
        <w:pStyle w:val="NOR"/>
        <w:rPr>
          <w:sz w:val="28"/>
          <w:szCs w:val="28"/>
        </w:rPr>
      </w:pPr>
      <w:r w:rsidRPr="00093D67">
        <w:rPr>
          <w:sz w:val="28"/>
          <w:szCs w:val="28"/>
        </w:rPr>
        <w:t xml:space="preserve">Chương 3 cũng đề cập đến vấn đề nổi cộm hiện nay, đó là rút tiền mặt từ thẻ tín dụng, khẳng định vấn đề rút tiền mặt từ náy POS hiện không có quốc gia nào ghi nhận. Và cũng </w:t>
      </w:r>
      <w:r w:rsidRPr="00093D67">
        <w:rPr>
          <w:sz w:val="28"/>
          <w:szCs w:val="28"/>
        </w:rPr>
        <w:lastRenderedPageBreak/>
        <w:t>không ngoại lệ, pháp luật Việt Nam cho dù khi dự thảo cho phép nhưng khi ban hành văn bản chính thức, rút tiền mặt tại máy POS cũng hoàn toàn không được cho phép, điều này giúp cho người sử dụng thẻ có thể tránh được các bẫy tín dụng. Tuy nhiên, thực tế thực trạng rút tiền mặt dưới dạng mua hàng diễn ra công khai và ngày càng phát triển. Pháp luật cần có các chế tài phù hợp để tình trạng này chấm dứt, để đưa thẻ tín dụng về đúng bản chất thanh toán hàng hóa, dịch vụ của nó.</w:t>
      </w:r>
    </w:p>
    <w:p w14:paraId="3D3E68BE" w14:textId="77777777" w:rsidR="00093D67" w:rsidRDefault="0049264C" w:rsidP="00093D67">
      <w:pPr>
        <w:pStyle w:val="NOR"/>
        <w:rPr>
          <w:sz w:val="28"/>
          <w:szCs w:val="28"/>
        </w:rPr>
      </w:pPr>
      <w:r w:rsidRPr="00093D67">
        <w:rPr>
          <w:sz w:val="28"/>
          <w:szCs w:val="28"/>
        </w:rPr>
        <w:t>Ngoài ra, chương 3 cũng đề cập tới nội dung xảy ra nhiều tranh chấp nhất, đó là lãi suất trong thanh toán thẻ ngân hàng. Chính vì vậy, pháp luật cần có những quy định cụ thể, nhằm điều chỉnh vấn đề này. Theo hướng, lãi suất cần quy định thật rõ ràng về mức tính, cách tính và nên có các ví dụ minh họa cho dễ hình dung.</w:t>
      </w:r>
    </w:p>
    <w:p w14:paraId="7E2BFE01" w14:textId="6D60FFB3" w:rsidR="00833A93" w:rsidRPr="00093D67" w:rsidRDefault="00833A93" w:rsidP="00093D67">
      <w:pPr>
        <w:pStyle w:val="NOR"/>
        <w:jc w:val="center"/>
        <w:rPr>
          <w:b/>
          <w:sz w:val="28"/>
          <w:szCs w:val="28"/>
        </w:rPr>
      </w:pPr>
      <w:r w:rsidRPr="00093D67">
        <w:rPr>
          <w:b/>
          <w:sz w:val="28"/>
          <w:szCs w:val="28"/>
        </w:rPr>
        <w:t>KẾT LUẬN VÀ KIẾN NGHỊ</w:t>
      </w:r>
    </w:p>
    <w:p w14:paraId="78BC5E40" w14:textId="77777777" w:rsidR="00DD0A73" w:rsidRPr="00093D67" w:rsidRDefault="00833A93" w:rsidP="00C604EE">
      <w:pPr>
        <w:pStyle w:val="NOR"/>
        <w:rPr>
          <w:sz w:val="28"/>
          <w:szCs w:val="28"/>
          <w:lang w:val="af-ZA"/>
        </w:rPr>
      </w:pPr>
      <w:r w:rsidRPr="00093D67">
        <w:rPr>
          <w:sz w:val="28"/>
          <w:szCs w:val="28"/>
          <w:lang w:val="af-ZA"/>
        </w:rPr>
        <w:t>Luận án đã thực hiện m</w:t>
      </w:r>
      <w:r w:rsidR="00DD0A73" w:rsidRPr="00093D67">
        <w:rPr>
          <w:sz w:val="28"/>
          <w:szCs w:val="28"/>
          <w:lang w:val="af-ZA"/>
        </w:rPr>
        <w:t>ột nghiên cứu khá hoàn chỉnh pháp</w:t>
      </w:r>
      <w:r w:rsidR="006524B7" w:rsidRPr="00093D67">
        <w:rPr>
          <w:sz w:val="28"/>
          <w:szCs w:val="28"/>
          <w:lang w:val="af-ZA"/>
        </w:rPr>
        <w:t xml:space="preserve"> luật về hoạt động thẻ thanh toán</w:t>
      </w:r>
      <w:r w:rsidR="00DD0A73" w:rsidRPr="00093D67">
        <w:rPr>
          <w:sz w:val="28"/>
          <w:szCs w:val="28"/>
          <w:lang w:val="af-ZA"/>
        </w:rPr>
        <w:t>, từ khâu phát hành,</w:t>
      </w:r>
      <w:r w:rsidR="00B26DDF" w:rsidRPr="00093D67">
        <w:rPr>
          <w:sz w:val="28"/>
          <w:szCs w:val="28"/>
          <w:lang w:val="af-ZA"/>
        </w:rPr>
        <w:t xml:space="preserve"> </w:t>
      </w:r>
      <w:r w:rsidR="00DD0A73" w:rsidRPr="00093D67">
        <w:rPr>
          <w:sz w:val="28"/>
          <w:szCs w:val="28"/>
          <w:lang w:val="af-ZA"/>
        </w:rPr>
        <w:t xml:space="preserve">sử dụng cho tới khâu quyết toán thẻ. </w:t>
      </w:r>
    </w:p>
    <w:p w14:paraId="6D78C10C"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Các nghiên cứu của những tác giả trong nước cũng như nước ngoài về hoạt động thẻ vẫn còn có những hạn chế sau đây:</w:t>
      </w:r>
    </w:p>
    <w:p w14:paraId="4C92D6AE"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Một là, hầu hết các nghiên cứu mới chỉ dừng lại ở góc độ kinh tế các hình thức thanh toán không dùng tiền mặt. Có một vài nghiên cứu có nghiên cứu riêng biệt về hoạt động thanh toán thẻ nhưng cũng chỉ dưới góc độ nghiệp vụ mà chưa đi vào phân tích các quy định của pháp luật điều chỉnh lĩnh vực này.</w:t>
      </w:r>
    </w:p>
    <w:p w14:paraId="3842ABA6"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Hai là, các luận án hoặc các bài nghiên cứu đều đi theo chiều hướng đưa ra các giải pháp nhằm phát triển thị trường thẻ, có đề cập đến giải pháp hoàn thiện pháp luật, nhưng hoàn thiện như thế nào? Dựa vào thực trạng ra sao thì hầu như chưa được đề cập tới.</w:t>
      </w:r>
    </w:p>
    <w:p w14:paraId="70BFE25B"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Ba là, hầu như các nghiên cứu về thị trường thẻ đều là những nghiên cứu cũ, dựa vào những quy định cũ về hoạt động thẻ. Trong khi, thẻ là một lĩnh vực phát triển cùng với sự phát triển của nền kinh tế. Do đó, những quy định điều chỉnh hoạt động này cũng cần thay đổi cho phù hợp với điều kiện hoàn cảnh mới.</w:t>
      </w:r>
    </w:p>
    <w:p w14:paraId="0C5BC236"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Qua việc trình bày tổng quan của các công trình nghiên cứu như trên, tác giả có thể khẳng định rằng, cho đến hiện nay vẫn chưa có công trình nào nghiên cứu một cách chuyên sâu về pháp luật điều chỉnh hoạt động thẻ ngân hàng. Chính vì vậy, việc lựa chọn đề tài nghiên cứu sẽ góp phần lấp đầy khoảng trống trong việc nghiên cứu về hoạt động thẻ, đặc biệt là thẻ tín dụng tại Việt Nam, ở khía cạnh pháp lý.</w:t>
      </w:r>
    </w:p>
    <w:p w14:paraId="37363C8D"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lastRenderedPageBreak/>
        <w:t>Liên quan đến khâu phát hành thẻ, tác giả kiến nghị:</w:t>
      </w:r>
    </w:p>
    <w:p w14:paraId="36BDCA22" w14:textId="77777777" w:rsidR="000160CD" w:rsidRPr="00093D67" w:rsidRDefault="00F0386F" w:rsidP="00C604EE">
      <w:pPr>
        <w:pStyle w:val="NOR"/>
        <w:rPr>
          <w:rFonts w:eastAsia="Times New Roman"/>
          <w:sz w:val="28"/>
          <w:szCs w:val="28"/>
          <w:lang w:val="af-ZA"/>
        </w:rPr>
      </w:pPr>
      <w:r w:rsidRPr="00093D67">
        <w:rPr>
          <w:rFonts w:eastAsia="Times New Roman"/>
          <w:b/>
          <w:sz w:val="28"/>
          <w:szCs w:val="28"/>
          <w:lang w:val="af-ZA"/>
        </w:rPr>
        <w:t>Thứ nhất,</w:t>
      </w:r>
      <w:r w:rsidRPr="00093D67">
        <w:rPr>
          <w:rFonts w:eastAsia="Times New Roman"/>
          <w:sz w:val="28"/>
          <w:szCs w:val="28"/>
          <w:lang w:val="af-ZA"/>
        </w:rPr>
        <w:t xml:space="preserve"> q</w:t>
      </w:r>
      <w:r w:rsidR="000160CD" w:rsidRPr="00093D67">
        <w:rPr>
          <w:rFonts w:eastAsia="Times New Roman"/>
          <w:sz w:val="28"/>
          <w:szCs w:val="28"/>
          <w:lang w:val="af-ZA"/>
        </w:rPr>
        <w:t>uy định của pháp luật điều kiện đối với chủ thẻ ở Việt Nam theo hướng nên quy định cụ thể về vấn đề chứng minh tài chính cá nhân và độ tuổi sử dụng thẻ tín dụng phù hợp hơn.</w:t>
      </w:r>
    </w:p>
    <w:p w14:paraId="2A005D2F" w14:textId="77777777" w:rsidR="000160CD" w:rsidRPr="00093D67" w:rsidRDefault="00F0386F" w:rsidP="00C604EE">
      <w:pPr>
        <w:pStyle w:val="NOR"/>
        <w:rPr>
          <w:rFonts w:eastAsia="Times New Roman"/>
          <w:sz w:val="28"/>
          <w:szCs w:val="28"/>
          <w:lang w:val="af-ZA"/>
        </w:rPr>
      </w:pPr>
      <w:r w:rsidRPr="00093D67">
        <w:rPr>
          <w:rFonts w:eastAsia="Times New Roman"/>
          <w:b/>
          <w:sz w:val="28"/>
          <w:szCs w:val="28"/>
          <w:lang w:val="af-ZA"/>
        </w:rPr>
        <w:t>Thứ hai,</w:t>
      </w:r>
      <w:r w:rsidRPr="00093D67">
        <w:rPr>
          <w:rFonts w:eastAsia="Times New Roman"/>
          <w:sz w:val="28"/>
          <w:szCs w:val="28"/>
          <w:lang w:val="af-ZA"/>
        </w:rPr>
        <w:t xml:space="preserve"> đối với</w:t>
      </w:r>
      <w:r w:rsidR="000160CD" w:rsidRPr="00093D67">
        <w:rPr>
          <w:rFonts w:eastAsia="Times New Roman"/>
          <w:sz w:val="28"/>
          <w:szCs w:val="28"/>
          <w:lang w:val="af-ZA"/>
        </w:rPr>
        <w:t xml:space="preserve"> hợp đồng phát hành thẻ ngân hàng, tác giả có một số khuyến nghị sau:</w:t>
      </w:r>
    </w:p>
    <w:p w14:paraId="6B039DF4"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Một là, tác giả khuyến nghị nên đưa ra những nội dung cơ bản quan trọng, có tính chuyên môn sâu vào sự điều chỉnh chính quy.</w:t>
      </w:r>
    </w:p>
    <w:p w14:paraId="04CF773B"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Hai là, những tài liệu diễn ra trong quá trình tư vấn, cần phải được quy định là yếu tố bắt buộc, để chứng minh rằng, khi đặt bút ký hợp đồng, chủ thẻ hoàn toàn nhận thức được các nghĩa vụ mà mình phải thực hiện.</w:t>
      </w:r>
    </w:p>
    <w:p w14:paraId="261DC0F7"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Ba là, buộc chủ thẻ phải chú ý đến các hợp đồng phát hành thẻ thông qua áp dụng hình thức giao kết khác của chúng.</w:t>
      </w:r>
    </w:p>
    <w:p w14:paraId="5E8095DA"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t>Cuối cùng, luật cần nâng cao hơn trách nhiệm bằng việc quy định các mức xử phạt đối với hành vi của các TCPHT do thực hiện không đúng nghĩa vụ tư vấn cho chủ thẻ mà dẫn đến thiệt hại. Đồng thời, sẽ không dư thừa nếu pháp luật dân sự bổ sung thêm trách nhiệm bồi thường dân sự của TCPHT trong trường hợp các giao dịch khống liên quan đến thẻ, dẫn đến chủ thẻ phải mất nhiều thời gian để theo đuổi vụ khiến nại.</w:t>
      </w:r>
    </w:p>
    <w:p w14:paraId="0601A909" w14:textId="77777777" w:rsidR="00F0386F" w:rsidRPr="00093D67" w:rsidRDefault="00F0386F" w:rsidP="00C604EE">
      <w:pPr>
        <w:pStyle w:val="NOR"/>
        <w:rPr>
          <w:rFonts w:eastAsia="Times New Roman"/>
          <w:sz w:val="28"/>
          <w:szCs w:val="28"/>
          <w:lang w:val="af-ZA"/>
        </w:rPr>
      </w:pPr>
      <w:r w:rsidRPr="00093D67">
        <w:rPr>
          <w:rFonts w:eastAsia="Times New Roman"/>
          <w:b/>
          <w:sz w:val="28"/>
          <w:szCs w:val="28"/>
          <w:lang w:val="af-ZA"/>
        </w:rPr>
        <w:t>Thứ ba,</w:t>
      </w:r>
      <w:r w:rsidRPr="00093D67">
        <w:rPr>
          <w:rFonts w:eastAsia="Times New Roman"/>
          <w:sz w:val="28"/>
          <w:szCs w:val="28"/>
          <w:lang w:val="af-ZA"/>
        </w:rPr>
        <w:t xml:space="preserve"> NHNN phải nhanh chóng thiết lập, ban hành và áp dụng quy định thống nhất về tính điểm tín dụng cá nhân trong toàn hệ thống. Việc ban hành quy định là biện pháp cần thiết để giáo dục, tăng cường ý thức của mỗi công dân trong hoạt động tín dụng, góp phần xây dựng một nền tài chính ổn định, ý thức, trách nhiệm từ đó phòng ngừa và ngăn chặn hiệu quả nợ xấu đặc biệt là nợ xấu trong hoạt động phát hành thẻ tín dụng tại thị trường Việt Nam.</w:t>
      </w:r>
    </w:p>
    <w:p w14:paraId="08BE73C6" w14:textId="77777777" w:rsidR="00F0386F" w:rsidRPr="00093D67" w:rsidRDefault="002D7603" w:rsidP="00C604EE">
      <w:pPr>
        <w:pStyle w:val="NOR"/>
        <w:rPr>
          <w:rFonts w:eastAsia="Times New Roman"/>
          <w:sz w:val="28"/>
          <w:szCs w:val="28"/>
          <w:lang w:val="af-ZA"/>
        </w:rPr>
      </w:pPr>
      <w:r w:rsidRPr="00093D67">
        <w:rPr>
          <w:rFonts w:eastAsia="Times New Roman"/>
          <w:sz w:val="28"/>
          <w:szCs w:val="28"/>
          <w:lang w:val="af-ZA"/>
        </w:rPr>
        <w:t>Liên quan đến khâu sử dụng thẻ, tác giả có các khuyến nghị sau:</w:t>
      </w:r>
    </w:p>
    <w:p w14:paraId="0D6C1A92" w14:textId="77777777" w:rsidR="002D7603" w:rsidRPr="00093D67" w:rsidRDefault="002D7603" w:rsidP="00C604EE">
      <w:pPr>
        <w:pStyle w:val="NOR"/>
        <w:rPr>
          <w:rFonts w:eastAsia="Times New Roman"/>
          <w:sz w:val="28"/>
          <w:szCs w:val="28"/>
          <w:lang w:val="af-ZA"/>
        </w:rPr>
      </w:pPr>
      <w:r w:rsidRPr="00093D67">
        <w:rPr>
          <w:rFonts w:eastAsia="Times New Roman"/>
          <w:b/>
          <w:sz w:val="28"/>
          <w:szCs w:val="28"/>
          <w:lang w:val="af-ZA"/>
        </w:rPr>
        <w:t>Thứ nhất,</w:t>
      </w:r>
      <w:r w:rsidRPr="00093D67">
        <w:rPr>
          <w:rFonts w:eastAsia="Times New Roman"/>
          <w:sz w:val="28"/>
          <w:szCs w:val="28"/>
          <w:lang w:val="af-ZA"/>
        </w:rPr>
        <w:t xml:space="preserve"> phải có những quy định chế tài nhằm chấm dứt tình trạng rút tiền mặt từ thẻ tín dụng tại máy POS.</w:t>
      </w:r>
    </w:p>
    <w:p w14:paraId="074409E4" w14:textId="77777777" w:rsidR="002D7603" w:rsidRPr="00093D67" w:rsidRDefault="002D7603" w:rsidP="00C604EE">
      <w:pPr>
        <w:pStyle w:val="NOR"/>
        <w:rPr>
          <w:rFonts w:eastAsia="Times New Roman"/>
          <w:sz w:val="28"/>
          <w:szCs w:val="28"/>
          <w:lang w:val="af-ZA"/>
        </w:rPr>
      </w:pPr>
      <w:r w:rsidRPr="00093D67">
        <w:rPr>
          <w:rFonts w:eastAsia="Times New Roman"/>
          <w:b/>
          <w:sz w:val="28"/>
          <w:szCs w:val="28"/>
          <w:lang w:val="af-ZA"/>
        </w:rPr>
        <w:t>Thứ hai,</w:t>
      </w:r>
      <w:r w:rsidRPr="00093D67">
        <w:rPr>
          <w:rFonts w:eastAsia="Times New Roman"/>
          <w:sz w:val="28"/>
          <w:szCs w:val="28"/>
          <w:lang w:val="af-ZA"/>
        </w:rPr>
        <w:t xml:space="preserve"> lãi suất trong sử dụng thẻ tín dụng cần được quy định rõ ràng và dễ hiểu, cũng như có sự thống nhất trong các văn bản quy phạm pháp luật.</w:t>
      </w:r>
    </w:p>
    <w:p w14:paraId="583C21CE" w14:textId="77777777" w:rsidR="00F0386F" w:rsidRPr="00093D67" w:rsidRDefault="00F0386F" w:rsidP="00C604EE">
      <w:pPr>
        <w:pStyle w:val="NOR"/>
        <w:rPr>
          <w:rFonts w:eastAsia="Times New Roman"/>
          <w:sz w:val="28"/>
          <w:szCs w:val="28"/>
          <w:lang w:val="af-ZA"/>
        </w:rPr>
      </w:pPr>
    </w:p>
    <w:p w14:paraId="15E9BB99" w14:textId="77777777" w:rsidR="000160CD" w:rsidRPr="00093D67" w:rsidRDefault="000160CD" w:rsidP="00C604EE">
      <w:pPr>
        <w:pStyle w:val="NOR"/>
        <w:rPr>
          <w:rFonts w:eastAsia="Times New Roman"/>
          <w:sz w:val="28"/>
          <w:szCs w:val="28"/>
          <w:lang w:val="af-ZA"/>
        </w:rPr>
      </w:pPr>
      <w:r w:rsidRPr="00093D67">
        <w:rPr>
          <w:rFonts w:eastAsia="Times New Roman"/>
          <w:sz w:val="28"/>
          <w:szCs w:val="28"/>
          <w:lang w:val="af-ZA"/>
        </w:rPr>
        <w:br w:type="page"/>
      </w:r>
    </w:p>
    <w:p w14:paraId="42CE954E" w14:textId="77777777" w:rsidR="00FC6C34" w:rsidRPr="00093D67" w:rsidRDefault="00FC6C34" w:rsidP="00C604EE">
      <w:pPr>
        <w:spacing w:after="0" w:line="360" w:lineRule="auto"/>
        <w:jc w:val="center"/>
        <w:rPr>
          <w:rFonts w:ascii="Times New Roman" w:hAnsi="Times New Roman" w:cs="Times New Roman"/>
          <w:b/>
          <w:sz w:val="26"/>
          <w:szCs w:val="28"/>
          <w:lang w:val="af-ZA"/>
        </w:rPr>
      </w:pPr>
      <w:r w:rsidRPr="00093D67">
        <w:rPr>
          <w:rFonts w:ascii="Times New Roman" w:hAnsi="Times New Roman" w:cs="Times New Roman"/>
          <w:b/>
          <w:sz w:val="26"/>
          <w:szCs w:val="28"/>
          <w:lang w:val="af-ZA"/>
        </w:rPr>
        <w:lastRenderedPageBreak/>
        <w:t>NHỮNG CÔNG TRÌNH NGHIÊN CỨU CỦA TÁC GIẢ CÓ LIÊN QUAN ĐẾN LUẬN ÁN</w:t>
      </w:r>
    </w:p>
    <w:p w14:paraId="0A429812" w14:textId="77777777" w:rsidR="000F1132" w:rsidRPr="00093D67" w:rsidRDefault="000F1132" w:rsidP="00AF1E72">
      <w:pPr>
        <w:spacing w:after="0" w:line="360" w:lineRule="auto"/>
        <w:jc w:val="both"/>
        <w:rPr>
          <w:rFonts w:ascii="Times New Roman" w:hAnsi="Times New Roman" w:cs="Times New Roman"/>
          <w:b/>
          <w:kern w:val="32"/>
          <w:sz w:val="28"/>
          <w:szCs w:val="28"/>
          <w:lang w:val="af-ZA"/>
        </w:rPr>
      </w:pPr>
      <w:r w:rsidRPr="00093D67">
        <w:rPr>
          <w:rFonts w:ascii="Times New Roman" w:hAnsi="Times New Roman" w:cs="Times New Roman"/>
          <w:b/>
          <w:kern w:val="32"/>
          <w:sz w:val="28"/>
          <w:szCs w:val="28"/>
          <w:lang w:val="af-ZA"/>
        </w:rPr>
        <w:t>1. Đề tài cấp Trường:</w:t>
      </w:r>
    </w:p>
    <w:p w14:paraId="37D0B000" w14:textId="77777777" w:rsidR="000F1132" w:rsidRPr="00093D67" w:rsidRDefault="000F1132" w:rsidP="00AF1E72">
      <w:pPr>
        <w:spacing w:after="0" w:line="360" w:lineRule="auto"/>
        <w:jc w:val="both"/>
        <w:rPr>
          <w:rFonts w:ascii="Times New Roman" w:hAnsi="Times New Roman" w:cs="Times New Roman"/>
          <w:kern w:val="32"/>
          <w:sz w:val="28"/>
          <w:szCs w:val="28"/>
          <w:lang w:val="af-ZA"/>
        </w:rPr>
      </w:pPr>
      <w:r w:rsidRPr="00093D67">
        <w:rPr>
          <w:rFonts w:ascii="Times New Roman" w:hAnsi="Times New Roman" w:cs="Times New Roman"/>
          <w:kern w:val="32"/>
          <w:sz w:val="28"/>
          <w:szCs w:val="28"/>
          <w:lang w:val="af-ZA"/>
        </w:rPr>
        <w:t>1.1. Rủi ro trong thanh toán bằng thẻ tín dụng tại Việt Nam, chủ nhiệm đề tài, 2016.</w:t>
      </w:r>
    </w:p>
    <w:p w14:paraId="5BFCB216" w14:textId="77777777" w:rsidR="000F1132" w:rsidRPr="00093D67" w:rsidRDefault="000F1132" w:rsidP="00AF1E72">
      <w:pPr>
        <w:spacing w:after="0" w:line="360" w:lineRule="auto"/>
        <w:jc w:val="both"/>
        <w:rPr>
          <w:rFonts w:ascii="Times New Roman" w:hAnsi="Times New Roman" w:cs="Times New Roman"/>
          <w:kern w:val="32"/>
          <w:sz w:val="28"/>
          <w:szCs w:val="28"/>
          <w:lang w:val="af-ZA"/>
        </w:rPr>
      </w:pPr>
      <w:r w:rsidRPr="00093D67">
        <w:rPr>
          <w:rFonts w:ascii="Times New Roman" w:hAnsi="Times New Roman" w:cs="Times New Roman"/>
          <w:kern w:val="32"/>
          <w:sz w:val="28"/>
          <w:szCs w:val="28"/>
          <w:lang w:val="af-ZA"/>
        </w:rPr>
        <w:t xml:space="preserve">1.2.  Pháp luật về phòng ngừa nợ xấu thông qua phát hành, sử dụng thẻ tín dụng tại Việt </w:t>
      </w:r>
      <w:bookmarkStart w:id="4" w:name="_GoBack"/>
      <w:bookmarkEnd w:id="4"/>
      <w:r w:rsidRPr="00093D67">
        <w:rPr>
          <w:rFonts w:ascii="Times New Roman" w:hAnsi="Times New Roman" w:cs="Times New Roman"/>
          <w:kern w:val="32"/>
          <w:sz w:val="28"/>
          <w:szCs w:val="28"/>
          <w:lang w:val="af-ZA"/>
        </w:rPr>
        <w:t>Nam – Nhìn từ các quốc gia phát triển, chủ nhiệm đề tài, năm 2018.</w:t>
      </w:r>
    </w:p>
    <w:p w14:paraId="0848D7C7" w14:textId="77777777" w:rsidR="000F1132" w:rsidRPr="00093D67" w:rsidRDefault="000F1132" w:rsidP="00AF1E72">
      <w:pPr>
        <w:spacing w:after="0" w:line="360" w:lineRule="auto"/>
        <w:jc w:val="both"/>
        <w:rPr>
          <w:rFonts w:ascii="Times New Roman" w:hAnsi="Times New Roman" w:cs="Times New Roman"/>
          <w:b/>
          <w:kern w:val="32"/>
          <w:sz w:val="28"/>
          <w:szCs w:val="28"/>
          <w:lang w:val="af-ZA"/>
        </w:rPr>
      </w:pPr>
      <w:r w:rsidRPr="00093D67">
        <w:rPr>
          <w:rFonts w:ascii="Times New Roman" w:hAnsi="Times New Roman" w:cs="Times New Roman"/>
          <w:b/>
          <w:kern w:val="32"/>
          <w:sz w:val="28"/>
          <w:szCs w:val="28"/>
          <w:lang w:val="af-ZA"/>
        </w:rPr>
        <w:t>2. Bài đăng tạp chí</w:t>
      </w:r>
    </w:p>
    <w:p w14:paraId="6D8AA257" w14:textId="77777777" w:rsidR="000F1132" w:rsidRPr="00093D67" w:rsidRDefault="000F1132" w:rsidP="00AF1E72">
      <w:pPr>
        <w:spacing w:after="0" w:line="360" w:lineRule="auto"/>
        <w:jc w:val="both"/>
        <w:rPr>
          <w:rFonts w:ascii="Times New Roman" w:hAnsi="Times New Roman" w:cs="Times New Roman"/>
          <w:kern w:val="32"/>
          <w:sz w:val="28"/>
          <w:szCs w:val="28"/>
          <w:lang w:val="af-ZA"/>
        </w:rPr>
      </w:pPr>
      <w:r w:rsidRPr="00093D67">
        <w:rPr>
          <w:rFonts w:ascii="Times New Roman" w:hAnsi="Times New Roman" w:cs="Times New Roman"/>
          <w:kern w:val="32"/>
          <w:sz w:val="28"/>
          <w:szCs w:val="28"/>
          <w:lang w:val="af-ZA"/>
        </w:rPr>
        <w:t>2.1. Trao đổi về những rủi ro từ việc rút tiền mặt từ thẻ tín dụ</w:t>
      </w:r>
      <w:r w:rsidR="002E712D" w:rsidRPr="00093D67">
        <w:rPr>
          <w:rFonts w:ascii="Times New Roman" w:hAnsi="Times New Roman" w:cs="Times New Roman"/>
          <w:kern w:val="32"/>
          <w:sz w:val="28"/>
          <w:szCs w:val="28"/>
          <w:lang w:val="af-ZA"/>
        </w:rPr>
        <w:t>ng</w:t>
      </w:r>
      <w:r w:rsidRPr="00093D67">
        <w:rPr>
          <w:rFonts w:ascii="Times New Roman" w:hAnsi="Times New Roman" w:cs="Times New Roman"/>
          <w:kern w:val="32"/>
          <w:sz w:val="28"/>
          <w:szCs w:val="28"/>
          <w:lang w:val="af-ZA"/>
        </w:rPr>
        <w:t>, Tạp chí Tài Chính, 07/2019.</w:t>
      </w:r>
    </w:p>
    <w:p w14:paraId="7A82D485" w14:textId="77777777" w:rsidR="000F1132" w:rsidRPr="00093D67" w:rsidRDefault="000F1132" w:rsidP="00AF1E72">
      <w:pPr>
        <w:spacing w:after="0" w:line="360" w:lineRule="auto"/>
        <w:jc w:val="both"/>
        <w:rPr>
          <w:rFonts w:ascii="Times New Roman" w:hAnsi="Times New Roman" w:cs="Times New Roman"/>
          <w:kern w:val="32"/>
          <w:sz w:val="28"/>
          <w:szCs w:val="28"/>
          <w:lang w:val="af-ZA"/>
        </w:rPr>
      </w:pPr>
      <w:r w:rsidRPr="00093D67">
        <w:rPr>
          <w:rFonts w:ascii="Times New Roman" w:hAnsi="Times New Roman" w:cs="Times New Roman"/>
          <w:kern w:val="32"/>
          <w:sz w:val="28"/>
          <w:szCs w:val="28"/>
          <w:lang w:val="af-ZA"/>
        </w:rPr>
        <w:t>2.2.  Thấy gì từ phát hành thẻ tín dụng và cấp hạn mức tín dụng tại một số nước trên thế giới, Tạp chí Tài Chính, 07/2019.</w:t>
      </w:r>
    </w:p>
    <w:p w14:paraId="081FE855" w14:textId="77777777" w:rsidR="000F1132" w:rsidRPr="00093D67" w:rsidRDefault="000F1132" w:rsidP="00AF1E72">
      <w:pPr>
        <w:spacing w:after="0" w:line="360" w:lineRule="auto"/>
        <w:jc w:val="both"/>
        <w:rPr>
          <w:rFonts w:ascii="Times New Roman" w:hAnsi="Times New Roman" w:cs="Times New Roman"/>
          <w:kern w:val="32"/>
          <w:sz w:val="28"/>
          <w:szCs w:val="28"/>
          <w:lang w:val="af-ZA"/>
        </w:rPr>
      </w:pPr>
      <w:r w:rsidRPr="00093D67">
        <w:rPr>
          <w:rFonts w:ascii="Times New Roman" w:hAnsi="Times New Roman" w:cs="Times New Roman"/>
          <w:kern w:val="32"/>
          <w:sz w:val="28"/>
          <w:szCs w:val="28"/>
          <w:lang w:val="af-ZA"/>
        </w:rPr>
        <w:t>2.3.  Some legal issues about credit cards in Vietnam – Compare with US law provisions, Science &amp; Technology Development Journal – Economics – Law and Management, 5(4):1-9, 2021.</w:t>
      </w:r>
    </w:p>
    <w:p w14:paraId="4B20BBA7" w14:textId="77777777" w:rsidR="000F1132" w:rsidRPr="00093D67" w:rsidRDefault="000F1132" w:rsidP="00AF1E72">
      <w:pPr>
        <w:spacing w:after="0" w:line="360" w:lineRule="auto"/>
        <w:jc w:val="both"/>
        <w:rPr>
          <w:rFonts w:ascii="Times New Roman" w:hAnsi="Times New Roman" w:cs="Times New Roman"/>
          <w:kern w:val="32"/>
          <w:sz w:val="28"/>
          <w:szCs w:val="28"/>
          <w:lang w:val="af-ZA"/>
        </w:rPr>
      </w:pPr>
      <w:r w:rsidRPr="00093D67">
        <w:rPr>
          <w:rFonts w:ascii="Times New Roman" w:hAnsi="Times New Roman" w:cs="Times New Roman"/>
          <w:kern w:val="32"/>
          <w:sz w:val="28"/>
          <w:szCs w:val="28"/>
          <w:lang w:val="af-ZA"/>
        </w:rPr>
        <w:t xml:space="preserve">2.4. Thanh toán không dùng tiền mặt - sự lựa chọn an toàn trong giao dịch trên thị trường, Tạp chí Cộng Sản, 17:22, ngày 16-09-2021. </w:t>
      </w:r>
    </w:p>
    <w:p w14:paraId="41CBC70A" w14:textId="77777777" w:rsidR="000246F8" w:rsidRPr="00093D67" w:rsidRDefault="000F1132" w:rsidP="00AF1E72">
      <w:pPr>
        <w:spacing w:after="0" w:line="360" w:lineRule="auto"/>
        <w:jc w:val="both"/>
        <w:rPr>
          <w:rFonts w:ascii="Times New Roman" w:hAnsi="Times New Roman" w:cs="Times New Roman"/>
          <w:sz w:val="28"/>
          <w:szCs w:val="28"/>
        </w:rPr>
      </w:pPr>
      <w:r w:rsidRPr="00093D67">
        <w:rPr>
          <w:rFonts w:ascii="Times New Roman" w:hAnsi="Times New Roman" w:cs="Times New Roman"/>
          <w:kern w:val="32"/>
          <w:sz w:val="28"/>
          <w:szCs w:val="28"/>
          <w:lang w:val="af-ZA"/>
        </w:rPr>
        <w:t>https://www.tapchicongsan.org.vn/web/guest/nghien-cu/-/2018/824069/thanh-toan-khong-dung-tien-mat---su-lua-chon-an-toan-trong-giao-dich-tren-thi-truong.aspx</w:t>
      </w:r>
    </w:p>
    <w:p w14:paraId="419FAE83" w14:textId="77777777" w:rsidR="000246F8" w:rsidRPr="00093D67" w:rsidRDefault="000246F8" w:rsidP="00AF1E72">
      <w:pPr>
        <w:spacing w:after="0" w:line="360" w:lineRule="auto"/>
        <w:jc w:val="both"/>
        <w:rPr>
          <w:rFonts w:ascii="Times New Roman" w:hAnsi="Times New Roman" w:cs="Times New Roman"/>
          <w:sz w:val="28"/>
          <w:szCs w:val="28"/>
        </w:rPr>
      </w:pPr>
    </w:p>
    <w:p w14:paraId="04BC723B" w14:textId="77777777" w:rsidR="00835AB1" w:rsidRPr="00093D67" w:rsidRDefault="00835AB1" w:rsidP="00AF1E72">
      <w:pPr>
        <w:spacing w:line="360" w:lineRule="auto"/>
        <w:rPr>
          <w:rFonts w:ascii="Times New Roman" w:hAnsi="Times New Roman" w:cs="Times New Roman"/>
          <w:sz w:val="28"/>
          <w:szCs w:val="28"/>
        </w:rPr>
      </w:pPr>
    </w:p>
    <w:sectPr w:rsidR="00835AB1" w:rsidRPr="00093D67" w:rsidSect="00C604EE">
      <w:headerReference w:type="default" r:id="rId8"/>
      <w:pgSz w:w="11906" w:h="16838" w:code="9"/>
      <w:pgMar w:top="1134" w:right="851" w:bottom="851" w:left="851"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D6F9D" w14:textId="77777777" w:rsidR="0000179F" w:rsidRDefault="0000179F">
      <w:pPr>
        <w:spacing w:after="0" w:line="240" w:lineRule="auto"/>
      </w:pPr>
      <w:r>
        <w:separator/>
      </w:r>
    </w:p>
  </w:endnote>
  <w:endnote w:type="continuationSeparator" w:id="0">
    <w:p w14:paraId="0D98F0B8" w14:textId="77777777" w:rsidR="0000179F" w:rsidRDefault="00001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3A8C6" w14:textId="77777777" w:rsidR="0000179F" w:rsidRDefault="0000179F">
      <w:pPr>
        <w:spacing w:after="0" w:line="240" w:lineRule="auto"/>
      </w:pPr>
      <w:r>
        <w:separator/>
      </w:r>
    </w:p>
  </w:footnote>
  <w:footnote w:type="continuationSeparator" w:id="0">
    <w:p w14:paraId="43EBD4D3" w14:textId="77777777" w:rsidR="0000179F" w:rsidRDefault="0000179F">
      <w:pPr>
        <w:spacing w:after="0" w:line="240" w:lineRule="auto"/>
      </w:pPr>
      <w:r>
        <w:continuationSeparator/>
      </w:r>
    </w:p>
  </w:footnote>
  <w:footnote w:id="1">
    <w:p w14:paraId="535AFBDF" w14:textId="77777777" w:rsidR="00A311D4" w:rsidRPr="00530993" w:rsidRDefault="00A311D4" w:rsidP="00A311D4">
      <w:pPr>
        <w:pStyle w:val="FootnoteText"/>
        <w:spacing w:line="360" w:lineRule="auto"/>
        <w:rPr>
          <w:rFonts w:cs="Times New Roman"/>
        </w:rPr>
      </w:pPr>
      <w:r w:rsidRPr="00530993">
        <w:rPr>
          <w:rStyle w:val="FootnoteReference"/>
          <w:rFonts w:cs="Times New Roman"/>
        </w:rPr>
        <w:footnoteRef/>
      </w:r>
      <w:r w:rsidRPr="00530993">
        <w:rPr>
          <w:rFonts w:cs="Times New Roman"/>
        </w:rPr>
        <w:t xml:space="preserve"> Khoản 1 điều 3 Thông tư </w:t>
      </w:r>
      <w:r w:rsidRPr="00530993">
        <w:rPr>
          <w:rFonts w:cs="Times New Roman"/>
          <w:lang w:val="vi-VN"/>
        </w:rPr>
        <w:t xml:space="preserve">Số: </w:t>
      </w:r>
      <w:r w:rsidRPr="00530993">
        <w:rPr>
          <w:rFonts w:cs="Times New Roman"/>
        </w:rPr>
        <w:t>19/2016</w:t>
      </w:r>
      <w:r w:rsidRPr="00530993">
        <w:rPr>
          <w:rFonts w:cs="Times New Roman"/>
          <w:lang w:val="vi-VN"/>
        </w:rPr>
        <w:t>/TT-NHNN</w:t>
      </w:r>
      <w:r w:rsidRPr="00530993">
        <w:rPr>
          <w:rFonts w:cs="Times New Roman"/>
        </w:rPr>
        <w:t xml:space="preserve"> của Ngân hàng Nhà nước Việt Nam Quy định về thẻ ngân hàng</w:t>
      </w:r>
    </w:p>
  </w:footnote>
  <w:footnote w:id="2">
    <w:p w14:paraId="647D7712" w14:textId="77777777" w:rsidR="004829E8" w:rsidRPr="0072368C" w:rsidRDefault="004829E8" w:rsidP="00C604EE">
      <w:pPr>
        <w:pStyle w:val="FootnoteText"/>
        <w:rPr>
          <w:rFonts w:cs="Times New Roman"/>
        </w:rPr>
      </w:pPr>
      <w:r w:rsidRPr="0072368C">
        <w:rPr>
          <w:rStyle w:val="FootnoteReference"/>
          <w:rFonts w:cs="Times New Roman"/>
        </w:rPr>
        <w:footnoteRef/>
      </w:r>
      <w:r w:rsidRPr="0072368C">
        <w:rPr>
          <w:rFonts w:cs="Times New Roman"/>
        </w:rPr>
        <w:t xml:space="preserve"> Thomas A. Durkin, Gregory Elliehausen and Todd J. Zywicki (2016), “An Assessment of Behavioral Law and Economics Contentions and What We Know Empirically About Credit Card Use by Consumers”, George Mason Law &amp; Economics Research., pp 14-46</w:t>
      </w:r>
    </w:p>
  </w:footnote>
  <w:footnote w:id="3">
    <w:p w14:paraId="3C4DDE4F" w14:textId="77777777" w:rsidR="004829E8" w:rsidRPr="00BE3FE3" w:rsidRDefault="004829E8" w:rsidP="00C604EE">
      <w:pPr>
        <w:pStyle w:val="FootnoteText"/>
        <w:rPr>
          <w:rFonts w:cs="Times New Roman"/>
        </w:rPr>
      </w:pPr>
      <w:r w:rsidRPr="00BE3FE3">
        <w:rPr>
          <w:rStyle w:val="FootnoteReference"/>
          <w:rFonts w:cs="Times New Roman"/>
        </w:rPr>
        <w:footnoteRef/>
      </w:r>
      <w:r w:rsidRPr="00BE3FE3">
        <w:rPr>
          <w:rFonts w:cs="Times New Roman"/>
        </w:rPr>
        <w:t xml:space="preserve"> Vuong Duc Hoang Quan, Trinh Hoang Nam (2016), The determinants of credit card delinquency: An Experimental study in Vietnam, International Conference on Asia Pacific Economic and Financial Development, 24-26 July, 2016.</w:t>
      </w:r>
    </w:p>
  </w:footnote>
  <w:footnote w:id="4">
    <w:p w14:paraId="12563E57" w14:textId="77777777" w:rsidR="004829E8" w:rsidRPr="00BE3FE3" w:rsidRDefault="004829E8" w:rsidP="00C604EE">
      <w:pPr>
        <w:pStyle w:val="FootnoteText"/>
        <w:rPr>
          <w:rFonts w:cs="Times New Roman"/>
        </w:rPr>
      </w:pPr>
      <w:r w:rsidRPr="00BE3FE3">
        <w:rPr>
          <w:rStyle w:val="FootnoteReference"/>
          <w:rFonts w:cs="Times New Roman"/>
        </w:rPr>
        <w:footnoteRef/>
      </w:r>
      <w:r w:rsidRPr="00BE3FE3">
        <w:rPr>
          <w:rFonts w:cs="Times New Roman"/>
        </w:rPr>
        <w:t xml:space="preserve"> </w:t>
      </w:r>
      <w:r w:rsidRPr="00C86E6D">
        <w:rPr>
          <w:rFonts w:cs="Times New Roman"/>
        </w:rPr>
        <w:t xml:space="preserve">Thuyết tâm lý tiêu dùng của Kotler </w:t>
      </w:r>
      <w:r w:rsidRPr="00BE3FE3">
        <w:rPr>
          <w:rFonts w:cs="Times New Roman"/>
        </w:rPr>
        <w:t>Kotler P. &amp; Keller, K. Marketing Management, Pearson Prentice Hall, New Jersey, 2006.</w:t>
      </w:r>
    </w:p>
  </w:footnote>
  <w:footnote w:id="5">
    <w:p w14:paraId="11A24794" w14:textId="77777777" w:rsidR="00701246" w:rsidRPr="00817E9B" w:rsidRDefault="00701246" w:rsidP="00C604EE">
      <w:pPr>
        <w:pStyle w:val="FootnoteText"/>
      </w:pPr>
      <w:r w:rsidRPr="00817E9B">
        <w:rPr>
          <w:rStyle w:val="FootnoteReference"/>
        </w:rPr>
        <w:footnoteRef/>
      </w:r>
      <w:r w:rsidRPr="00817E9B">
        <w:t xml:space="preserve"> Lee Huffman , What Is a Credit Card Cash Advance?, </w:t>
      </w:r>
      <w:hyperlink r:id="rId1" w:history="1">
        <w:r w:rsidRPr="00817E9B">
          <w:rPr>
            <w:rStyle w:val="Hyperlink"/>
          </w:rPr>
          <w:t>https://www.valuepenguin.com/what-is-credit-card-cash-advance</w:t>
        </w:r>
      </w:hyperlink>
      <w:r w:rsidRPr="00817E9B">
        <w:t>, truy cập ngày 30/07/2020.</w:t>
      </w:r>
    </w:p>
  </w:footnote>
  <w:footnote w:id="6">
    <w:p w14:paraId="19A0C68B" w14:textId="77777777" w:rsidR="00701246" w:rsidRPr="00817E9B" w:rsidRDefault="00701246" w:rsidP="00C604EE">
      <w:pPr>
        <w:spacing w:after="0" w:line="240" w:lineRule="auto"/>
        <w:jc w:val="both"/>
        <w:rPr>
          <w:rFonts w:cs="Times New Roman"/>
          <w:sz w:val="20"/>
          <w:szCs w:val="20"/>
        </w:rPr>
      </w:pPr>
      <w:r w:rsidRPr="00817E9B">
        <w:rPr>
          <w:rStyle w:val="FootnoteReference"/>
          <w:sz w:val="20"/>
          <w:szCs w:val="20"/>
        </w:rPr>
        <w:footnoteRef/>
      </w:r>
      <w:r w:rsidRPr="00817E9B">
        <w:rPr>
          <w:rFonts w:cs="Times New Roman"/>
          <w:sz w:val="20"/>
          <w:szCs w:val="20"/>
        </w:rPr>
        <w:t xml:space="preserve"> ATM: </w:t>
      </w:r>
      <w:r w:rsidRPr="00817E9B">
        <w:rPr>
          <w:rFonts w:cs="Times New Roman"/>
          <w:sz w:val="20"/>
          <w:szCs w:val="20"/>
          <w:lang w:val="vi-VN"/>
        </w:rPr>
        <w:t>Automated Teller Machine</w:t>
      </w:r>
      <w:r w:rsidRPr="00817E9B">
        <w:rPr>
          <w:rFonts w:cs="Times New Roman"/>
          <w:sz w:val="20"/>
          <w:szCs w:val="20"/>
        </w:rPr>
        <w:t xml:space="preserve"> (</w:t>
      </w:r>
      <w:r w:rsidRPr="00817E9B">
        <w:rPr>
          <w:rFonts w:cs="Times New Roman"/>
          <w:i/>
          <w:iCs/>
          <w:sz w:val="20"/>
          <w:szCs w:val="20"/>
          <w:lang w:val="vi-VN"/>
        </w:rPr>
        <w:t>Máy giao dịch tự động</w:t>
      </w:r>
      <w:r w:rsidRPr="00817E9B">
        <w:rPr>
          <w:rFonts w:cs="Times New Roman"/>
          <w:i/>
          <w:iCs/>
          <w:sz w:val="20"/>
          <w:szCs w:val="20"/>
        </w:rPr>
        <w:t xml:space="preserve">) </w:t>
      </w:r>
      <w:r w:rsidRPr="00817E9B">
        <w:rPr>
          <w:rFonts w:cs="Times New Roman"/>
          <w:sz w:val="20"/>
          <w:szCs w:val="20"/>
          <w:lang w:val="vi-VN"/>
        </w:rPr>
        <w:t xml:space="preserve">là thiết bị mà chủ thẻ có thể sử dụng để thực hiện các giao dịch như: gửi, nạp, </w:t>
      </w:r>
      <w:r w:rsidRPr="00817E9B">
        <w:rPr>
          <w:rFonts w:cs="Times New Roman"/>
          <w:sz w:val="20"/>
          <w:szCs w:val="20"/>
        </w:rPr>
        <w:t>rú</w:t>
      </w:r>
      <w:r w:rsidRPr="00817E9B">
        <w:rPr>
          <w:rFonts w:cs="Times New Roman"/>
          <w:sz w:val="20"/>
          <w:szCs w:val="20"/>
          <w:lang w:val="vi-VN"/>
        </w:rPr>
        <w:t>t tiền mặt, chuyển Khoản, thanh toán hóa đơn hàng hóa, dịch vụ, v</w:t>
      </w:r>
      <w:r w:rsidRPr="00817E9B">
        <w:rPr>
          <w:rFonts w:cs="Times New Roman"/>
          <w:sz w:val="20"/>
          <w:szCs w:val="20"/>
        </w:rPr>
        <w:t>ấ</w:t>
      </w:r>
      <w:r w:rsidRPr="00817E9B">
        <w:rPr>
          <w:rFonts w:cs="Times New Roman"/>
          <w:sz w:val="20"/>
          <w:szCs w:val="20"/>
          <w:lang w:val="vi-VN"/>
        </w:rPr>
        <w:t>n tin tài Khoản, đổi PIN, tra cứu thông tin thẻ hoặc các giao dịch khác.</w:t>
      </w:r>
    </w:p>
  </w:footnote>
  <w:footnote w:id="7">
    <w:p w14:paraId="47ED8ACD" w14:textId="77777777" w:rsidR="00701246" w:rsidRPr="00C604EE" w:rsidRDefault="00701246" w:rsidP="00701246">
      <w:pPr>
        <w:pStyle w:val="FootnoteText"/>
      </w:pPr>
      <w:r w:rsidRPr="00C604EE">
        <w:rPr>
          <w:rStyle w:val="FootnoteReference"/>
        </w:rPr>
        <w:footnoteRef/>
      </w:r>
      <w:r w:rsidRPr="00C604EE">
        <w:t xml:space="preserve"> </w:t>
      </w:r>
      <w:hyperlink r:id="rId2" w:history="1">
        <w:r w:rsidRPr="00C604EE">
          <w:rPr>
            <w:rStyle w:val="Hyperlink"/>
          </w:rPr>
          <w:t>https://cards.vpbank.com.vn/tin-tuc/1/chia-se/rut-tien-the-tin-dung-vpbank.39/</w:t>
        </w:r>
      </w:hyperlink>
      <w:r w:rsidRPr="00C604EE">
        <w:t>, truy cập ngày 16/06/2019</w:t>
      </w:r>
    </w:p>
  </w:footnote>
  <w:footnote w:id="8">
    <w:p w14:paraId="7EF2BF2C" w14:textId="77777777" w:rsidR="00701246" w:rsidRPr="00E378ED" w:rsidRDefault="00701246" w:rsidP="00E378ED">
      <w:pPr>
        <w:pStyle w:val="FootnoteText"/>
        <w:spacing w:line="360" w:lineRule="auto"/>
        <w:rPr>
          <w:sz w:val="18"/>
          <w:szCs w:val="18"/>
        </w:rPr>
      </w:pPr>
      <w:r w:rsidRPr="00C604EE">
        <w:rPr>
          <w:rStyle w:val="FootnoteReference"/>
        </w:rPr>
        <w:footnoteRef/>
      </w:r>
      <w:r w:rsidRPr="00C604EE">
        <w:t xml:space="preserve"> Điểm b, khoản 6, điều 1 Thông tư số 26/2017/TT-NHNN</w:t>
      </w:r>
    </w:p>
  </w:footnote>
  <w:footnote w:id="9">
    <w:p w14:paraId="419CFFFB" w14:textId="77777777" w:rsidR="00701246" w:rsidRPr="00E378ED" w:rsidRDefault="00701246" w:rsidP="00C604EE">
      <w:pPr>
        <w:pStyle w:val="FootnoteText"/>
        <w:rPr>
          <w:sz w:val="18"/>
          <w:szCs w:val="18"/>
        </w:rPr>
      </w:pPr>
      <w:r w:rsidRPr="00E378ED">
        <w:rPr>
          <w:rStyle w:val="FootnoteReference"/>
          <w:sz w:val="18"/>
          <w:szCs w:val="18"/>
        </w:rPr>
        <w:footnoteRef/>
      </w:r>
      <w:r w:rsidRPr="00E378ED">
        <w:rPr>
          <w:sz w:val="18"/>
          <w:szCs w:val="18"/>
        </w:rPr>
        <w:t xml:space="preserve"> Tổng cục Thống kê</w:t>
      </w:r>
    </w:p>
  </w:footnote>
  <w:footnote w:id="10">
    <w:p w14:paraId="3F1529E8" w14:textId="77777777" w:rsidR="00701246" w:rsidRPr="00E378ED" w:rsidRDefault="00701246" w:rsidP="00C604EE">
      <w:pPr>
        <w:pStyle w:val="FootnoteText"/>
        <w:rPr>
          <w:sz w:val="18"/>
          <w:szCs w:val="18"/>
        </w:rPr>
      </w:pPr>
      <w:r w:rsidRPr="00E378ED">
        <w:rPr>
          <w:rStyle w:val="FootnoteReference"/>
          <w:sz w:val="18"/>
          <w:szCs w:val="18"/>
        </w:rPr>
        <w:footnoteRef/>
      </w:r>
      <w:r w:rsidRPr="00E378ED">
        <w:rPr>
          <w:sz w:val="18"/>
          <w:szCs w:val="18"/>
        </w:rPr>
        <w:t xml:space="preserve"> Khoản 2 điều 8 Thông tư 19/2016/TT-NHNN</w:t>
      </w:r>
    </w:p>
  </w:footnote>
  <w:footnote w:id="11">
    <w:p w14:paraId="29F58E70" w14:textId="77777777" w:rsidR="00701246" w:rsidRPr="00E378ED" w:rsidRDefault="00701246" w:rsidP="00C604EE">
      <w:pPr>
        <w:pStyle w:val="FootnoteText"/>
        <w:rPr>
          <w:sz w:val="18"/>
          <w:szCs w:val="18"/>
        </w:rPr>
      </w:pPr>
      <w:r w:rsidRPr="00E378ED">
        <w:rPr>
          <w:rStyle w:val="FootnoteReference"/>
          <w:sz w:val="18"/>
          <w:szCs w:val="18"/>
        </w:rPr>
        <w:footnoteRef/>
      </w:r>
      <w:r w:rsidRPr="00E378ED">
        <w:rPr>
          <w:sz w:val="18"/>
          <w:szCs w:val="18"/>
        </w:rPr>
        <w:t xml:space="preserve"> Khoản 2 điều 1 Thông tư 26/2017/TT-NHNN</w:t>
      </w:r>
    </w:p>
  </w:footnote>
  <w:footnote w:id="12">
    <w:p w14:paraId="4C661A68" w14:textId="77777777" w:rsidR="00701246" w:rsidRPr="00E378ED" w:rsidRDefault="00701246" w:rsidP="00C604EE">
      <w:pPr>
        <w:pStyle w:val="FootnoteText"/>
        <w:rPr>
          <w:sz w:val="18"/>
          <w:szCs w:val="18"/>
        </w:rPr>
      </w:pPr>
      <w:r w:rsidRPr="00E378ED">
        <w:rPr>
          <w:rStyle w:val="FootnoteReference"/>
          <w:sz w:val="18"/>
          <w:szCs w:val="18"/>
        </w:rPr>
        <w:footnoteRef/>
      </w:r>
      <w:r w:rsidRPr="00E378ED">
        <w:rPr>
          <w:sz w:val="18"/>
          <w:szCs w:val="18"/>
        </w:rPr>
        <w:t xml:space="preserve"> Điều 203. Tội in, phát hành, mua bán trái phép hóa đơn, chứng từ thu nộp ngân sách nhà nước</w:t>
      </w:r>
    </w:p>
  </w:footnote>
  <w:footnote w:id="13">
    <w:p w14:paraId="040FD8B5" w14:textId="77777777" w:rsidR="00EC4AF1" w:rsidRPr="00B3149D" w:rsidRDefault="00EC4AF1" w:rsidP="00EC4AF1">
      <w:pPr>
        <w:pStyle w:val="FootnoteText"/>
        <w:spacing w:line="360" w:lineRule="auto"/>
      </w:pPr>
      <w:r w:rsidRPr="00B3149D">
        <w:rPr>
          <w:rStyle w:val="FootnoteReference"/>
        </w:rPr>
        <w:footnoteRef/>
      </w:r>
      <w:r w:rsidRPr="00B3149D">
        <w:t xml:space="preserve"> Điều 468 Bộ luật dân sự 2015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643849"/>
      <w:docPartObj>
        <w:docPartGallery w:val="Page Numbers (Top of Page)"/>
        <w:docPartUnique/>
      </w:docPartObj>
    </w:sdtPr>
    <w:sdtEndPr>
      <w:rPr>
        <w:rFonts w:ascii="Times New Roman" w:hAnsi="Times New Roman" w:cs="Times New Roman"/>
        <w:noProof/>
        <w:sz w:val="26"/>
        <w:szCs w:val="26"/>
      </w:rPr>
    </w:sdtEndPr>
    <w:sdtContent>
      <w:p w14:paraId="6A2A7B66" w14:textId="4F5362B3" w:rsidR="00C604EE" w:rsidRPr="00C604EE" w:rsidRDefault="00C604EE">
        <w:pPr>
          <w:pStyle w:val="Header"/>
          <w:jc w:val="center"/>
          <w:rPr>
            <w:rFonts w:ascii="Times New Roman" w:hAnsi="Times New Roman" w:cs="Times New Roman"/>
            <w:sz w:val="26"/>
            <w:szCs w:val="26"/>
          </w:rPr>
        </w:pPr>
        <w:r w:rsidRPr="00C604EE">
          <w:rPr>
            <w:rFonts w:ascii="Times New Roman" w:hAnsi="Times New Roman" w:cs="Times New Roman"/>
            <w:sz w:val="26"/>
            <w:szCs w:val="26"/>
          </w:rPr>
          <w:fldChar w:fldCharType="begin"/>
        </w:r>
        <w:r w:rsidRPr="00C604EE">
          <w:rPr>
            <w:rFonts w:ascii="Times New Roman" w:hAnsi="Times New Roman" w:cs="Times New Roman"/>
            <w:sz w:val="26"/>
            <w:szCs w:val="26"/>
          </w:rPr>
          <w:instrText xml:space="preserve"> PAGE   \* MERGEFORMAT </w:instrText>
        </w:r>
        <w:r w:rsidRPr="00C604EE">
          <w:rPr>
            <w:rFonts w:ascii="Times New Roman" w:hAnsi="Times New Roman" w:cs="Times New Roman"/>
            <w:sz w:val="26"/>
            <w:szCs w:val="26"/>
          </w:rPr>
          <w:fldChar w:fldCharType="separate"/>
        </w:r>
        <w:r w:rsidR="00093D67">
          <w:rPr>
            <w:rFonts w:ascii="Times New Roman" w:hAnsi="Times New Roman" w:cs="Times New Roman"/>
            <w:noProof/>
            <w:sz w:val="26"/>
            <w:szCs w:val="26"/>
          </w:rPr>
          <w:t>27</w:t>
        </w:r>
        <w:r w:rsidRPr="00C604EE">
          <w:rPr>
            <w:rFonts w:ascii="Times New Roman" w:hAnsi="Times New Roman" w:cs="Times New Roman"/>
            <w:noProof/>
            <w:sz w:val="26"/>
            <w:szCs w:val="26"/>
          </w:rPr>
          <w:fldChar w:fldCharType="end"/>
        </w:r>
      </w:p>
    </w:sdtContent>
  </w:sdt>
  <w:p w14:paraId="043C778C" w14:textId="77777777" w:rsidR="00237DC0" w:rsidRDefault="00237DC0">
    <w:pPr>
      <w:spacing w:after="0" w:line="0" w:lineRule="atLeast"/>
      <w:rPr>
        <w:sz w:val="0"/>
        <w:szCs w:val="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B14D2"/>
    <w:multiLevelType w:val="multilevel"/>
    <w:tmpl w:val="CAB8A206"/>
    <w:lvl w:ilvl="0">
      <w:start w:val="2"/>
      <w:numFmt w:val="decimal"/>
      <w:lvlText w:val="%1."/>
      <w:lvlJc w:val="left"/>
      <w:pPr>
        <w:ind w:left="720" w:hanging="720"/>
      </w:pPr>
      <w:rPr>
        <w:rFonts w:hint="default"/>
      </w:rPr>
    </w:lvl>
    <w:lvl w:ilvl="1">
      <w:start w:val="5"/>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30DB0C00"/>
    <w:multiLevelType w:val="hybridMultilevel"/>
    <w:tmpl w:val="A20E768C"/>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4F147B76"/>
    <w:multiLevelType w:val="multilevel"/>
    <w:tmpl w:val="73E0B534"/>
    <w:lvl w:ilvl="0">
      <w:start w:val="2"/>
      <w:numFmt w:val="decimal"/>
      <w:lvlText w:val="%1."/>
      <w:lvlJc w:val="left"/>
      <w:pPr>
        <w:ind w:left="720" w:hanging="720"/>
      </w:pPr>
      <w:rPr>
        <w:rFonts w:hint="default"/>
      </w:rPr>
    </w:lvl>
    <w:lvl w:ilvl="1">
      <w:start w:val="5"/>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2"/>
  <w:bordersDoNotSurroundHeader/>
  <w:bordersDoNotSurroundFooter/>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6E1"/>
    <w:rsid w:val="00000710"/>
    <w:rsid w:val="0000179F"/>
    <w:rsid w:val="00007D95"/>
    <w:rsid w:val="000160CD"/>
    <w:rsid w:val="00016E19"/>
    <w:rsid w:val="000246F8"/>
    <w:rsid w:val="00026CFC"/>
    <w:rsid w:val="000469FE"/>
    <w:rsid w:val="00052B37"/>
    <w:rsid w:val="00055D25"/>
    <w:rsid w:val="00055F52"/>
    <w:rsid w:val="000614DE"/>
    <w:rsid w:val="0007525B"/>
    <w:rsid w:val="00093D67"/>
    <w:rsid w:val="000B10CE"/>
    <w:rsid w:val="000B38AC"/>
    <w:rsid w:val="000B5045"/>
    <w:rsid w:val="000C03FB"/>
    <w:rsid w:val="000C3B00"/>
    <w:rsid w:val="000E5DCB"/>
    <w:rsid w:val="000F1132"/>
    <w:rsid w:val="00101300"/>
    <w:rsid w:val="00103659"/>
    <w:rsid w:val="0011481B"/>
    <w:rsid w:val="00114C73"/>
    <w:rsid w:val="001244AC"/>
    <w:rsid w:val="00130A6D"/>
    <w:rsid w:val="001427B4"/>
    <w:rsid w:val="001439DE"/>
    <w:rsid w:val="00147A65"/>
    <w:rsid w:val="00157A9D"/>
    <w:rsid w:val="00161A3D"/>
    <w:rsid w:val="00163BC0"/>
    <w:rsid w:val="001759FE"/>
    <w:rsid w:val="0018356B"/>
    <w:rsid w:val="00185D79"/>
    <w:rsid w:val="0018791D"/>
    <w:rsid w:val="001951AF"/>
    <w:rsid w:val="001A036D"/>
    <w:rsid w:val="001C7A8A"/>
    <w:rsid w:val="00207877"/>
    <w:rsid w:val="0021398E"/>
    <w:rsid w:val="002178A5"/>
    <w:rsid w:val="00217DCB"/>
    <w:rsid w:val="00226BB4"/>
    <w:rsid w:val="0022721A"/>
    <w:rsid w:val="00236FC8"/>
    <w:rsid w:val="00237DC0"/>
    <w:rsid w:val="002644AC"/>
    <w:rsid w:val="00265C67"/>
    <w:rsid w:val="00285394"/>
    <w:rsid w:val="002932E2"/>
    <w:rsid w:val="002A0178"/>
    <w:rsid w:val="002A2AB8"/>
    <w:rsid w:val="002B5F40"/>
    <w:rsid w:val="002C6F58"/>
    <w:rsid w:val="002D7603"/>
    <w:rsid w:val="002E2141"/>
    <w:rsid w:val="002E221C"/>
    <w:rsid w:val="002E53F0"/>
    <w:rsid w:val="002E6988"/>
    <w:rsid w:val="002E712D"/>
    <w:rsid w:val="00330D23"/>
    <w:rsid w:val="00337217"/>
    <w:rsid w:val="00341769"/>
    <w:rsid w:val="00361D72"/>
    <w:rsid w:val="00365BEC"/>
    <w:rsid w:val="003809C7"/>
    <w:rsid w:val="00386449"/>
    <w:rsid w:val="00386916"/>
    <w:rsid w:val="00393882"/>
    <w:rsid w:val="00397890"/>
    <w:rsid w:val="003A73E0"/>
    <w:rsid w:val="003B4694"/>
    <w:rsid w:val="003C6971"/>
    <w:rsid w:val="0040403D"/>
    <w:rsid w:val="004141A2"/>
    <w:rsid w:val="004152BA"/>
    <w:rsid w:val="00432D67"/>
    <w:rsid w:val="00434CA9"/>
    <w:rsid w:val="00453226"/>
    <w:rsid w:val="00466C6D"/>
    <w:rsid w:val="004705B6"/>
    <w:rsid w:val="0047068B"/>
    <w:rsid w:val="0048124C"/>
    <w:rsid w:val="004829E8"/>
    <w:rsid w:val="004831F3"/>
    <w:rsid w:val="0049264C"/>
    <w:rsid w:val="00495F9F"/>
    <w:rsid w:val="00497BC8"/>
    <w:rsid w:val="004A1155"/>
    <w:rsid w:val="004B1218"/>
    <w:rsid w:val="004B7FC9"/>
    <w:rsid w:val="004C2A94"/>
    <w:rsid w:val="00524355"/>
    <w:rsid w:val="00530E21"/>
    <w:rsid w:val="00547CB5"/>
    <w:rsid w:val="0055280F"/>
    <w:rsid w:val="00552D3D"/>
    <w:rsid w:val="00562C96"/>
    <w:rsid w:val="00582CA8"/>
    <w:rsid w:val="00587ACF"/>
    <w:rsid w:val="005A02AA"/>
    <w:rsid w:val="005A4D33"/>
    <w:rsid w:val="005C7413"/>
    <w:rsid w:val="00604810"/>
    <w:rsid w:val="00611D63"/>
    <w:rsid w:val="00616666"/>
    <w:rsid w:val="00625CF2"/>
    <w:rsid w:val="00631C01"/>
    <w:rsid w:val="006524B7"/>
    <w:rsid w:val="00664DF8"/>
    <w:rsid w:val="00665751"/>
    <w:rsid w:val="00670239"/>
    <w:rsid w:val="00675878"/>
    <w:rsid w:val="00691DA0"/>
    <w:rsid w:val="006A385C"/>
    <w:rsid w:val="006A4B4B"/>
    <w:rsid w:val="006B47C0"/>
    <w:rsid w:val="006C02E1"/>
    <w:rsid w:val="006D6F64"/>
    <w:rsid w:val="006F1323"/>
    <w:rsid w:val="006F1BA9"/>
    <w:rsid w:val="006F3EBA"/>
    <w:rsid w:val="0070040D"/>
    <w:rsid w:val="00701246"/>
    <w:rsid w:val="00710271"/>
    <w:rsid w:val="007126A2"/>
    <w:rsid w:val="00725577"/>
    <w:rsid w:val="00727433"/>
    <w:rsid w:val="007337AD"/>
    <w:rsid w:val="0075151C"/>
    <w:rsid w:val="00752A44"/>
    <w:rsid w:val="0075404A"/>
    <w:rsid w:val="00761FB2"/>
    <w:rsid w:val="0076516F"/>
    <w:rsid w:val="007737D9"/>
    <w:rsid w:val="00782172"/>
    <w:rsid w:val="00790036"/>
    <w:rsid w:val="00796FE0"/>
    <w:rsid w:val="007A5FA4"/>
    <w:rsid w:val="007B5599"/>
    <w:rsid w:val="007C69CD"/>
    <w:rsid w:val="007D5A8B"/>
    <w:rsid w:val="00800368"/>
    <w:rsid w:val="008040FD"/>
    <w:rsid w:val="00811E2B"/>
    <w:rsid w:val="00812E39"/>
    <w:rsid w:val="008135C4"/>
    <w:rsid w:val="00833A93"/>
    <w:rsid w:val="00835AB1"/>
    <w:rsid w:val="00845A50"/>
    <w:rsid w:val="008508EC"/>
    <w:rsid w:val="00857BBD"/>
    <w:rsid w:val="00871CB6"/>
    <w:rsid w:val="00875DEC"/>
    <w:rsid w:val="008760B6"/>
    <w:rsid w:val="008766E1"/>
    <w:rsid w:val="008A33F5"/>
    <w:rsid w:val="008A6A96"/>
    <w:rsid w:val="008A7075"/>
    <w:rsid w:val="008A7E2B"/>
    <w:rsid w:val="008B2A86"/>
    <w:rsid w:val="008C6225"/>
    <w:rsid w:val="008C7834"/>
    <w:rsid w:val="008D1152"/>
    <w:rsid w:val="008E0F29"/>
    <w:rsid w:val="008E51B1"/>
    <w:rsid w:val="008E6FB9"/>
    <w:rsid w:val="00916CFD"/>
    <w:rsid w:val="0091716D"/>
    <w:rsid w:val="00924493"/>
    <w:rsid w:val="0093794B"/>
    <w:rsid w:val="00954311"/>
    <w:rsid w:val="009830F5"/>
    <w:rsid w:val="00983D8B"/>
    <w:rsid w:val="0099795C"/>
    <w:rsid w:val="009C20AA"/>
    <w:rsid w:val="009E7F9B"/>
    <w:rsid w:val="009F75A8"/>
    <w:rsid w:val="009F7E56"/>
    <w:rsid w:val="00A0057D"/>
    <w:rsid w:val="00A04C71"/>
    <w:rsid w:val="00A10A2B"/>
    <w:rsid w:val="00A1147F"/>
    <w:rsid w:val="00A152F4"/>
    <w:rsid w:val="00A21025"/>
    <w:rsid w:val="00A21D3E"/>
    <w:rsid w:val="00A311D4"/>
    <w:rsid w:val="00A35D3B"/>
    <w:rsid w:val="00A47AC6"/>
    <w:rsid w:val="00A531AE"/>
    <w:rsid w:val="00A55490"/>
    <w:rsid w:val="00A67410"/>
    <w:rsid w:val="00A71784"/>
    <w:rsid w:val="00A802D2"/>
    <w:rsid w:val="00A90D95"/>
    <w:rsid w:val="00AA305D"/>
    <w:rsid w:val="00AA3B09"/>
    <w:rsid w:val="00AB1FD6"/>
    <w:rsid w:val="00AB7B69"/>
    <w:rsid w:val="00AC3519"/>
    <w:rsid w:val="00AE0737"/>
    <w:rsid w:val="00AF037D"/>
    <w:rsid w:val="00AF1E72"/>
    <w:rsid w:val="00AF2CB3"/>
    <w:rsid w:val="00AF44AF"/>
    <w:rsid w:val="00B1163D"/>
    <w:rsid w:val="00B2387A"/>
    <w:rsid w:val="00B2454B"/>
    <w:rsid w:val="00B24CA1"/>
    <w:rsid w:val="00B26DDF"/>
    <w:rsid w:val="00B36866"/>
    <w:rsid w:val="00B37067"/>
    <w:rsid w:val="00B378ED"/>
    <w:rsid w:val="00B37EFF"/>
    <w:rsid w:val="00B413D4"/>
    <w:rsid w:val="00B4633F"/>
    <w:rsid w:val="00B50A96"/>
    <w:rsid w:val="00B556DE"/>
    <w:rsid w:val="00B57019"/>
    <w:rsid w:val="00B725FE"/>
    <w:rsid w:val="00B772D4"/>
    <w:rsid w:val="00B90C94"/>
    <w:rsid w:val="00B96616"/>
    <w:rsid w:val="00BA074D"/>
    <w:rsid w:val="00BA0F2D"/>
    <w:rsid w:val="00BA2681"/>
    <w:rsid w:val="00BB0B71"/>
    <w:rsid w:val="00BB3719"/>
    <w:rsid w:val="00BB4B1B"/>
    <w:rsid w:val="00BC6BF4"/>
    <w:rsid w:val="00BD1812"/>
    <w:rsid w:val="00BD2282"/>
    <w:rsid w:val="00C0662A"/>
    <w:rsid w:val="00C20D51"/>
    <w:rsid w:val="00C36EB7"/>
    <w:rsid w:val="00C4382A"/>
    <w:rsid w:val="00C43E72"/>
    <w:rsid w:val="00C458B7"/>
    <w:rsid w:val="00C604EE"/>
    <w:rsid w:val="00C67523"/>
    <w:rsid w:val="00C82AA1"/>
    <w:rsid w:val="00C9124D"/>
    <w:rsid w:val="00C958CF"/>
    <w:rsid w:val="00CA0E7E"/>
    <w:rsid w:val="00CA239C"/>
    <w:rsid w:val="00CB4D66"/>
    <w:rsid w:val="00CB602C"/>
    <w:rsid w:val="00CC49CE"/>
    <w:rsid w:val="00CC6D64"/>
    <w:rsid w:val="00CD18DC"/>
    <w:rsid w:val="00CD2B98"/>
    <w:rsid w:val="00CE24A5"/>
    <w:rsid w:val="00CF13D3"/>
    <w:rsid w:val="00CF560A"/>
    <w:rsid w:val="00CF5903"/>
    <w:rsid w:val="00D00373"/>
    <w:rsid w:val="00D21E9F"/>
    <w:rsid w:val="00D31184"/>
    <w:rsid w:val="00D466E9"/>
    <w:rsid w:val="00D66109"/>
    <w:rsid w:val="00D673DA"/>
    <w:rsid w:val="00D7418F"/>
    <w:rsid w:val="00D76F1C"/>
    <w:rsid w:val="00D8102E"/>
    <w:rsid w:val="00D815F8"/>
    <w:rsid w:val="00D8783C"/>
    <w:rsid w:val="00D92DFC"/>
    <w:rsid w:val="00D970A1"/>
    <w:rsid w:val="00DB0FF6"/>
    <w:rsid w:val="00DD0A73"/>
    <w:rsid w:val="00DE2BCE"/>
    <w:rsid w:val="00E02EED"/>
    <w:rsid w:val="00E05E21"/>
    <w:rsid w:val="00E378ED"/>
    <w:rsid w:val="00E42353"/>
    <w:rsid w:val="00E4313C"/>
    <w:rsid w:val="00E63024"/>
    <w:rsid w:val="00E73F7A"/>
    <w:rsid w:val="00E769F9"/>
    <w:rsid w:val="00E80D8D"/>
    <w:rsid w:val="00E83746"/>
    <w:rsid w:val="00E87508"/>
    <w:rsid w:val="00E91089"/>
    <w:rsid w:val="00E93AD4"/>
    <w:rsid w:val="00EB29D4"/>
    <w:rsid w:val="00EB43B7"/>
    <w:rsid w:val="00EB481F"/>
    <w:rsid w:val="00EC461B"/>
    <w:rsid w:val="00EC4AF1"/>
    <w:rsid w:val="00ED176B"/>
    <w:rsid w:val="00EE509A"/>
    <w:rsid w:val="00EF12D9"/>
    <w:rsid w:val="00EF3ADF"/>
    <w:rsid w:val="00F00AE7"/>
    <w:rsid w:val="00F03412"/>
    <w:rsid w:val="00F0386F"/>
    <w:rsid w:val="00F048F9"/>
    <w:rsid w:val="00F065C4"/>
    <w:rsid w:val="00F30C52"/>
    <w:rsid w:val="00F42EBD"/>
    <w:rsid w:val="00F44382"/>
    <w:rsid w:val="00F45902"/>
    <w:rsid w:val="00F4701E"/>
    <w:rsid w:val="00F52C39"/>
    <w:rsid w:val="00F802C3"/>
    <w:rsid w:val="00F80B7F"/>
    <w:rsid w:val="00F92132"/>
    <w:rsid w:val="00FA5E40"/>
    <w:rsid w:val="00FB0754"/>
    <w:rsid w:val="00FB1A51"/>
    <w:rsid w:val="00FB3EDF"/>
    <w:rsid w:val="00FB7AEB"/>
    <w:rsid w:val="00FB7EB1"/>
    <w:rsid w:val="00FC18C7"/>
    <w:rsid w:val="00FC6C34"/>
    <w:rsid w:val="00FD4646"/>
    <w:rsid w:val="00FE02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493BA"/>
  <w15:docId w15:val="{C2B9B353-B94B-4BD2-8D75-8E2473848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E72"/>
  </w:style>
  <w:style w:type="paragraph" w:styleId="Heading1">
    <w:name w:val="heading 1"/>
    <w:basedOn w:val="Normal"/>
    <w:next w:val="Normal"/>
    <w:link w:val="Heading1Char"/>
    <w:autoRedefine/>
    <w:uiPriority w:val="9"/>
    <w:qFormat/>
    <w:rsid w:val="00E05E21"/>
    <w:pPr>
      <w:spacing w:after="0" w:line="360" w:lineRule="auto"/>
      <w:ind w:firstLine="567"/>
      <w:jc w:val="both"/>
      <w:outlineLvl w:val="0"/>
    </w:pPr>
    <w:rPr>
      <w:rFonts w:ascii="Times New Roman" w:eastAsia="Times New Roman" w:hAnsi="Times New Roman" w:cs="Times New Roman"/>
      <w:b/>
      <w:kern w:val="32"/>
      <w:sz w:val="26"/>
      <w:lang w:val="af-ZA"/>
    </w:rPr>
  </w:style>
  <w:style w:type="paragraph" w:styleId="Heading2">
    <w:name w:val="heading 2"/>
    <w:basedOn w:val="Normal"/>
    <w:next w:val="Normal"/>
    <w:link w:val="Heading2Char"/>
    <w:uiPriority w:val="9"/>
    <w:unhideWhenUsed/>
    <w:qFormat/>
    <w:rsid w:val="00E05E21"/>
    <w:pPr>
      <w:keepNext/>
      <w:keepLines/>
      <w:spacing w:after="0" w:line="360" w:lineRule="auto"/>
      <w:ind w:firstLine="567"/>
      <w:jc w:val="both"/>
      <w:outlineLvl w:val="1"/>
    </w:pPr>
    <w:rPr>
      <w:rFonts w:ascii="Times New Roman" w:eastAsiaTheme="majorEastAsia" w:hAnsi="Times New Roman" w:cstheme="majorBidi"/>
      <w:b/>
      <w:i/>
      <w:sz w:val="26"/>
      <w:szCs w:val="26"/>
    </w:rPr>
  </w:style>
  <w:style w:type="paragraph" w:styleId="Heading3">
    <w:name w:val="heading 3"/>
    <w:basedOn w:val="Normal"/>
    <w:next w:val="Normal"/>
    <w:link w:val="Heading3Char"/>
    <w:autoRedefine/>
    <w:uiPriority w:val="9"/>
    <w:unhideWhenUsed/>
    <w:qFormat/>
    <w:rsid w:val="00E05E21"/>
    <w:pPr>
      <w:keepNext/>
      <w:keepLines/>
      <w:spacing w:after="0" w:line="360" w:lineRule="auto"/>
      <w:ind w:firstLine="567"/>
      <w:jc w:val="both"/>
      <w:outlineLvl w:val="2"/>
    </w:pPr>
    <w:rPr>
      <w:rFonts w:ascii="Times New Roman" w:eastAsiaTheme="majorEastAsia" w:hAnsi="Times New Roman" w:cstheme="majorBidi"/>
      <w:i/>
      <w:sz w:val="26"/>
      <w:szCs w:val="24"/>
    </w:rPr>
  </w:style>
  <w:style w:type="paragraph" w:styleId="Heading4">
    <w:name w:val="heading 4"/>
    <w:basedOn w:val="Normal"/>
    <w:next w:val="Normal"/>
    <w:link w:val="Heading4Char"/>
    <w:uiPriority w:val="9"/>
    <w:semiHidden/>
    <w:unhideWhenUsed/>
    <w:qFormat/>
    <w:rsid w:val="00A47AC6"/>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FB3EDF"/>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313C"/>
    <w:pPr>
      <w:ind w:left="720"/>
      <w:contextualSpacing/>
    </w:pPr>
  </w:style>
  <w:style w:type="paragraph" w:styleId="Caption">
    <w:name w:val="caption"/>
    <w:basedOn w:val="Normal"/>
    <w:next w:val="Normal"/>
    <w:qFormat/>
    <w:rsid w:val="004C2A94"/>
    <w:pPr>
      <w:widowControl/>
      <w:spacing w:before="120" w:after="120" w:line="360" w:lineRule="auto"/>
      <w:ind w:firstLine="720"/>
      <w:jc w:val="center"/>
    </w:pPr>
    <w:rPr>
      <w:rFonts w:ascii="Times New Roman" w:eastAsia="Times New Roman" w:hAnsi="Times New Roman" w:cs="Times New Roman"/>
      <w:b/>
      <w:bCs/>
      <w:sz w:val="26"/>
      <w:szCs w:val="20"/>
    </w:rPr>
  </w:style>
  <w:style w:type="paragraph" w:styleId="Subtitle">
    <w:name w:val="Subtitle"/>
    <w:aliases w:val="hình"/>
    <w:basedOn w:val="Normal"/>
    <w:next w:val="Normal"/>
    <w:link w:val="SubtitleChar"/>
    <w:qFormat/>
    <w:rsid w:val="004C2A94"/>
    <w:pPr>
      <w:widowControl/>
      <w:numPr>
        <w:ilvl w:val="1"/>
      </w:numPr>
      <w:spacing w:before="120" w:after="120" w:line="360" w:lineRule="auto"/>
      <w:ind w:firstLine="720"/>
      <w:jc w:val="center"/>
    </w:pPr>
    <w:rPr>
      <w:rFonts w:ascii="Times New Roman Bold" w:eastAsiaTheme="majorEastAsia" w:hAnsi="Times New Roman Bold" w:cstheme="majorBidi"/>
      <w:b/>
      <w:iCs/>
      <w:sz w:val="26"/>
      <w:szCs w:val="24"/>
    </w:rPr>
  </w:style>
  <w:style w:type="character" w:customStyle="1" w:styleId="SubtitleChar">
    <w:name w:val="Subtitle Char"/>
    <w:aliases w:val="hình Char"/>
    <w:basedOn w:val="DefaultParagraphFont"/>
    <w:link w:val="Subtitle"/>
    <w:rsid w:val="004C2A94"/>
    <w:rPr>
      <w:rFonts w:ascii="Times New Roman Bold" w:eastAsiaTheme="majorEastAsia" w:hAnsi="Times New Roman Bold" w:cstheme="majorBidi"/>
      <w:b/>
      <w:iCs/>
      <w:sz w:val="26"/>
      <w:szCs w:val="24"/>
    </w:rPr>
  </w:style>
  <w:style w:type="paragraph" w:styleId="Header">
    <w:name w:val="header"/>
    <w:basedOn w:val="Normal"/>
    <w:link w:val="HeaderChar"/>
    <w:uiPriority w:val="99"/>
    <w:unhideWhenUsed/>
    <w:rsid w:val="00B725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25FE"/>
  </w:style>
  <w:style w:type="paragraph" w:styleId="Footer">
    <w:name w:val="footer"/>
    <w:basedOn w:val="Normal"/>
    <w:link w:val="FooterChar"/>
    <w:uiPriority w:val="99"/>
    <w:unhideWhenUsed/>
    <w:rsid w:val="00B725F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25FE"/>
  </w:style>
  <w:style w:type="character" w:customStyle="1" w:styleId="Heading1Char">
    <w:name w:val="Heading 1 Char"/>
    <w:basedOn w:val="DefaultParagraphFont"/>
    <w:link w:val="Heading1"/>
    <w:uiPriority w:val="9"/>
    <w:rsid w:val="00E05E21"/>
    <w:rPr>
      <w:rFonts w:ascii="Times New Roman" w:eastAsia="Times New Roman" w:hAnsi="Times New Roman" w:cs="Times New Roman"/>
      <w:b/>
      <w:kern w:val="32"/>
      <w:sz w:val="26"/>
      <w:lang w:val="af-ZA"/>
    </w:rPr>
  </w:style>
  <w:style w:type="character" w:customStyle="1" w:styleId="Heading2Char">
    <w:name w:val="Heading 2 Char"/>
    <w:basedOn w:val="DefaultParagraphFont"/>
    <w:link w:val="Heading2"/>
    <w:uiPriority w:val="9"/>
    <w:rsid w:val="00E05E21"/>
    <w:rPr>
      <w:rFonts w:ascii="Times New Roman" w:eastAsiaTheme="majorEastAsia" w:hAnsi="Times New Roman" w:cstheme="majorBidi"/>
      <w:b/>
      <w:i/>
      <w:sz w:val="26"/>
      <w:szCs w:val="26"/>
    </w:rPr>
  </w:style>
  <w:style w:type="character" w:customStyle="1" w:styleId="Heading4Char">
    <w:name w:val="Heading 4 Char"/>
    <w:basedOn w:val="DefaultParagraphFont"/>
    <w:link w:val="Heading4"/>
    <w:uiPriority w:val="9"/>
    <w:semiHidden/>
    <w:rsid w:val="00A47AC6"/>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FB3EDF"/>
    <w:rPr>
      <w:rFonts w:asciiTheme="majorHAnsi" w:eastAsiaTheme="majorEastAsia" w:hAnsiTheme="majorHAnsi" w:cstheme="majorBidi"/>
      <w:color w:val="365F91" w:themeColor="accent1" w:themeShade="BF"/>
    </w:rPr>
  </w:style>
  <w:style w:type="paragraph" w:customStyle="1" w:styleId="heading6l">
    <w:name w:val="heading 6 ôl"/>
    <w:basedOn w:val="Normal"/>
    <w:qFormat/>
    <w:rsid w:val="00FB3EDF"/>
    <w:pPr>
      <w:widowControl/>
      <w:spacing w:after="0" w:line="240" w:lineRule="auto"/>
      <w:jc w:val="center"/>
    </w:pPr>
    <w:rPr>
      <w:rFonts w:ascii="Times New Roman Bold" w:eastAsia="Times New Roman" w:hAnsi="Times New Roman Bold" w:cs="Times New Roman"/>
      <w:b/>
      <w:spacing w:val="-4"/>
    </w:rPr>
  </w:style>
  <w:style w:type="character" w:customStyle="1" w:styleId="Heading3Char">
    <w:name w:val="Heading 3 Char"/>
    <w:basedOn w:val="DefaultParagraphFont"/>
    <w:link w:val="Heading3"/>
    <w:uiPriority w:val="9"/>
    <w:rsid w:val="00E05E21"/>
    <w:rPr>
      <w:rFonts w:ascii="Times New Roman" w:eastAsiaTheme="majorEastAsia" w:hAnsi="Times New Roman" w:cstheme="majorBidi"/>
      <w:i/>
      <w:sz w:val="26"/>
      <w:szCs w:val="24"/>
    </w:rPr>
  </w:style>
  <w:style w:type="paragraph" w:customStyle="1" w:styleId="Default">
    <w:name w:val="Default"/>
    <w:rsid w:val="0093794B"/>
    <w:pPr>
      <w:widowControl/>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ng">
    <w:name w:val="bảng"/>
    <w:basedOn w:val="Normal"/>
    <w:qFormat/>
    <w:rsid w:val="00B37EFF"/>
    <w:pPr>
      <w:widowControl/>
      <w:spacing w:before="120" w:after="120" w:line="360" w:lineRule="auto"/>
      <w:jc w:val="center"/>
    </w:pPr>
    <w:rPr>
      <w:rFonts w:ascii="Times New Roman" w:eastAsia="Times New Roman" w:hAnsi="Times New Roman" w:cs="Times New Roman"/>
      <w:b/>
      <w:sz w:val="26"/>
      <w:szCs w:val="24"/>
    </w:rPr>
  </w:style>
  <w:style w:type="paragraph" w:styleId="NormalWeb">
    <w:name w:val="Normal (Web)"/>
    <w:basedOn w:val="Normal"/>
    <w:uiPriority w:val="99"/>
    <w:rsid w:val="00833A93"/>
    <w:pPr>
      <w:widowControl/>
      <w:spacing w:before="100" w:beforeAutospacing="1" w:after="100" w:afterAutospacing="1" w:line="360" w:lineRule="auto"/>
      <w:ind w:firstLine="720"/>
    </w:pPr>
    <w:rPr>
      <w:rFonts w:ascii="Times New Roman" w:eastAsia="Times New Roman" w:hAnsi="Times New Roman" w:cs="Times New Roman"/>
      <w:sz w:val="24"/>
      <w:szCs w:val="24"/>
    </w:rPr>
  </w:style>
  <w:style w:type="character" w:customStyle="1" w:styleId="shorttext">
    <w:name w:val="short_text"/>
    <w:rsid w:val="00833A93"/>
    <w:rPr>
      <w:rFonts w:cs="Arial"/>
      <w:bCs/>
      <w:kern w:val="32"/>
      <w:sz w:val="26"/>
      <w:szCs w:val="26"/>
      <w:lang w:val="en-US" w:eastAsia="en-US" w:bidi="ar-SA"/>
    </w:rPr>
  </w:style>
  <w:style w:type="paragraph" w:styleId="BalloonText">
    <w:name w:val="Balloon Text"/>
    <w:basedOn w:val="Normal"/>
    <w:link w:val="BalloonTextChar"/>
    <w:uiPriority w:val="99"/>
    <w:semiHidden/>
    <w:unhideWhenUsed/>
    <w:rsid w:val="000C3B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3B00"/>
    <w:rPr>
      <w:rFonts w:ascii="Segoe UI" w:hAnsi="Segoe UI" w:cs="Segoe UI"/>
      <w:sz w:val="18"/>
      <w:szCs w:val="18"/>
    </w:rPr>
  </w:style>
  <w:style w:type="paragraph" w:styleId="FootnoteText">
    <w:name w:val="footnote text"/>
    <w:basedOn w:val="Normal"/>
    <w:link w:val="FootnoteTextChar"/>
    <w:autoRedefine/>
    <w:uiPriority w:val="99"/>
    <w:unhideWhenUsed/>
    <w:qFormat/>
    <w:rsid w:val="00C604EE"/>
    <w:pPr>
      <w:widowControl/>
      <w:spacing w:after="0" w:line="240" w:lineRule="auto"/>
      <w:jc w:val="both"/>
    </w:pPr>
    <w:rPr>
      <w:rFonts w:ascii="Times New Roman" w:hAnsi="Times New Roman"/>
      <w:sz w:val="20"/>
      <w:szCs w:val="20"/>
    </w:rPr>
  </w:style>
  <w:style w:type="character" w:customStyle="1" w:styleId="FootnoteTextChar">
    <w:name w:val="Footnote Text Char"/>
    <w:basedOn w:val="DefaultParagraphFont"/>
    <w:link w:val="FootnoteText"/>
    <w:uiPriority w:val="99"/>
    <w:qFormat/>
    <w:rsid w:val="00C604EE"/>
    <w:rPr>
      <w:rFonts w:ascii="Times New Roman" w:hAnsi="Times New Roman"/>
      <w:sz w:val="20"/>
      <w:szCs w:val="20"/>
    </w:rPr>
  </w:style>
  <w:style w:type="character" w:styleId="FootnoteReference">
    <w:name w:val="footnote reference"/>
    <w:basedOn w:val="DefaultParagraphFont"/>
    <w:uiPriority w:val="99"/>
    <w:unhideWhenUsed/>
    <w:qFormat/>
    <w:rsid w:val="004829E8"/>
    <w:rPr>
      <w:vertAlign w:val="superscript"/>
    </w:rPr>
  </w:style>
  <w:style w:type="character" w:styleId="Hyperlink">
    <w:name w:val="Hyperlink"/>
    <w:basedOn w:val="DefaultParagraphFont"/>
    <w:uiPriority w:val="99"/>
    <w:unhideWhenUsed/>
    <w:rsid w:val="00701246"/>
    <w:rPr>
      <w:color w:val="0000FF" w:themeColor="hyperlink"/>
      <w:u w:val="single"/>
    </w:rPr>
  </w:style>
  <w:style w:type="paragraph" w:styleId="Title">
    <w:name w:val="Title"/>
    <w:basedOn w:val="Normal"/>
    <w:next w:val="Normal"/>
    <w:link w:val="TitleChar"/>
    <w:uiPriority w:val="10"/>
    <w:qFormat/>
    <w:rsid w:val="00E05E21"/>
    <w:pPr>
      <w:spacing w:after="0" w:line="360" w:lineRule="auto"/>
      <w:contextualSpacing/>
      <w:jc w:val="center"/>
    </w:pPr>
    <w:rPr>
      <w:rFonts w:ascii="Times New Roman" w:eastAsiaTheme="majorEastAsia" w:hAnsi="Times New Roman" w:cstheme="majorBidi"/>
      <w:b/>
      <w:spacing w:val="-10"/>
      <w:kern w:val="28"/>
      <w:sz w:val="26"/>
      <w:szCs w:val="56"/>
    </w:rPr>
  </w:style>
  <w:style w:type="character" w:customStyle="1" w:styleId="TitleChar">
    <w:name w:val="Title Char"/>
    <w:basedOn w:val="DefaultParagraphFont"/>
    <w:link w:val="Title"/>
    <w:uiPriority w:val="10"/>
    <w:rsid w:val="00E05E21"/>
    <w:rPr>
      <w:rFonts w:ascii="Times New Roman" w:eastAsiaTheme="majorEastAsia" w:hAnsi="Times New Roman" w:cstheme="majorBidi"/>
      <w:b/>
      <w:spacing w:val="-10"/>
      <w:kern w:val="28"/>
      <w:sz w:val="26"/>
      <w:szCs w:val="56"/>
    </w:rPr>
  </w:style>
  <w:style w:type="paragraph" w:customStyle="1" w:styleId="sub">
    <w:name w:val="sub"/>
    <w:basedOn w:val="Title"/>
    <w:qFormat/>
    <w:rsid w:val="00E05E21"/>
    <w:pPr>
      <w:ind w:firstLine="567"/>
      <w:jc w:val="both"/>
    </w:pPr>
    <w:rPr>
      <w:rFonts w:eastAsia="Times New Roman" w:cs="Times New Roman"/>
      <w:bCs/>
      <w:position w:val="-1"/>
      <w:szCs w:val="26"/>
    </w:rPr>
  </w:style>
  <w:style w:type="paragraph" w:customStyle="1" w:styleId="NOR">
    <w:name w:val="NOR"/>
    <w:basedOn w:val="Title"/>
    <w:qFormat/>
    <w:rsid w:val="00E05E21"/>
    <w:pPr>
      <w:ind w:firstLine="567"/>
      <w:jc w:val="both"/>
    </w:pPr>
    <w:rPr>
      <w:rFonts w:cs="Times New Roman"/>
      <w:b w:val="0"/>
      <w:spacing w:val="0"/>
      <w:szCs w:val="26"/>
    </w:rPr>
  </w:style>
  <w:style w:type="paragraph" w:customStyle="1" w:styleId="Style1">
    <w:name w:val="Style1"/>
    <w:basedOn w:val="sub"/>
    <w:autoRedefine/>
    <w:qFormat/>
    <w:rsid w:val="00E05E21"/>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cards.vpbank.com.vn/tin-tuc/1/chia-se/rut-tien-the-tin-dung-vpbank.39/" TargetMode="External"/><Relationship Id="rId1" Type="http://schemas.openxmlformats.org/officeDocument/2006/relationships/hyperlink" Target="https://www.valuepenguin.com/what-is-credit-card-cash-adv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232CE-9D2C-4BCE-9A55-76AA3732A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9320</Words>
  <Characters>53127</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8.1X86 M1</dc:creator>
  <cp:lastModifiedBy>Admin</cp:lastModifiedBy>
  <cp:revision>3</cp:revision>
  <cp:lastPrinted>2024-05-21T03:59:00Z</cp:lastPrinted>
  <dcterms:created xsi:type="dcterms:W3CDTF">2024-05-21T03:59:00Z</dcterms:created>
  <dcterms:modified xsi:type="dcterms:W3CDTF">2024-05-21T04:12:00Z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2018-09-26T00:00:00Z</vt:filetime>
  </property>
  <property fmtid="{D5CDD505-2E9C-101B-9397-08002B2CF9AE}" pid="3" name="LastSaved">
    <vt:filetime>2020-11-02T00:00:00Z</vt:filetime>
  </property>
</Properties>
</file>